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5C" w:rsidRDefault="0017265C" w:rsidP="009747BB">
      <w:pPr>
        <w:spacing w:after="0" w:line="240" w:lineRule="auto"/>
        <w:jc w:val="center"/>
        <w:rPr>
          <w:rFonts w:ascii="Times New Roman" w:eastAsia="Calibri" w:hAnsi="Times New Roman" w:cs="Times New Roman"/>
          <w:b/>
          <w:sz w:val="24"/>
          <w:szCs w:val="24"/>
        </w:rPr>
      </w:pPr>
    </w:p>
    <w:p w:rsidR="0017265C" w:rsidRDefault="0017265C" w:rsidP="009747BB">
      <w:pPr>
        <w:spacing w:after="0" w:line="240" w:lineRule="auto"/>
        <w:jc w:val="center"/>
        <w:rPr>
          <w:rFonts w:ascii="Times New Roman" w:eastAsia="Calibri" w:hAnsi="Times New Roman" w:cs="Times New Roman"/>
          <w:b/>
          <w:sz w:val="24"/>
          <w:szCs w:val="24"/>
        </w:rPr>
      </w:pPr>
      <w:r w:rsidRPr="009747BB">
        <w:rPr>
          <w:rFonts w:ascii="Times New Roman" w:hAnsi="Times New Roman" w:cs="Times New Roman"/>
          <w:noProof/>
          <w:sz w:val="24"/>
        </w:rPr>
        <w:drawing>
          <wp:inline distT="0" distB="0" distL="0" distR="0" wp14:anchorId="6E8410FC" wp14:editId="5B8C81C4">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7700" cy="971550"/>
                    </a:xfrm>
                    <a:prstGeom prst="rect">
                      <a:avLst/>
                    </a:prstGeom>
                  </pic:spPr>
                </pic:pic>
              </a:graphicData>
            </a:graphic>
          </wp:inline>
        </w:drawing>
      </w:r>
    </w:p>
    <w:p w:rsidR="0017265C" w:rsidRDefault="0017265C" w:rsidP="009747BB">
      <w:pPr>
        <w:spacing w:after="0" w:line="240" w:lineRule="auto"/>
        <w:jc w:val="center"/>
        <w:rPr>
          <w:rFonts w:ascii="Times New Roman" w:eastAsia="Calibri" w:hAnsi="Times New Roman" w:cs="Times New Roman"/>
          <w:b/>
          <w:sz w:val="24"/>
          <w:szCs w:val="24"/>
        </w:rPr>
      </w:pPr>
    </w:p>
    <w:p w:rsidR="00C36189" w:rsidRPr="0017265C" w:rsidRDefault="00650977" w:rsidP="009747BB">
      <w:pPr>
        <w:spacing w:after="0" w:line="240" w:lineRule="auto"/>
        <w:jc w:val="center"/>
        <w:rPr>
          <w:rFonts w:ascii="Times New Roman" w:eastAsia="Calibri" w:hAnsi="Times New Roman" w:cs="Times New Roman"/>
          <w:sz w:val="28"/>
          <w:szCs w:val="24"/>
        </w:rPr>
      </w:pPr>
      <w:r w:rsidRPr="0017265C">
        <w:rPr>
          <w:rFonts w:ascii="Times New Roman" w:eastAsia="Calibri" w:hAnsi="Times New Roman" w:cs="Times New Roman"/>
          <w:sz w:val="28"/>
          <w:szCs w:val="24"/>
        </w:rPr>
        <w:t>APPLICATION OF DATA ENVELOPMENT ANALYSIS FOR EXPLORING BILATERAL TRADE POTENTIALS</w:t>
      </w:r>
    </w:p>
    <w:p w:rsidR="0017265C" w:rsidRDefault="0017265C" w:rsidP="009747BB">
      <w:pPr>
        <w:spacing w:after="0" w:line="240" w:lineRule="auto"/>
        <w:jc w:val="center"/>
        <w:rPr>
          <w:rFonts w:ascii="Times New Roman" w:eastAsia="Calibri" w:hAnsi="Times New Roman" w:cs="Times New Roman"/>
          <w:sz w:val="24"/>
          <w:szCs w:val="24"/>
        </w:rPr>
      </w:pPr>
    </w:p>
    <w:p w:rsidR="0017265C" w:rsidRPr="00084802" w:rsidRDefault="003C35BC" w:rsidP="009747BB">
      <w:pPr>
        <w:spacing w:after="0" w:line="360" w:lineRule="auto"/>
        <w:jc w:val="center"/>
        <w:rPr>
          <w:rFonts w:ascii="Times New Roman" w:eastAsia="Calibri" w:hAnsi="Times New Roman" w:cs="Times New Roman"/>
          <w:i/>
          <w:sz w:val="24"/>
          <w:szCs w:val="24"/>
          <w:vertAlign w:val="superscript"/>
        </w:rPr>
      </w:pPr>
      <w:r w:rsidRPr="00084802">
        <w:rPr>
          <w:rFonts w:ascii="Times New Roman" w:eastAsia="Calibri" w:hAnsi="Times New Roman" w:cs="Times New Roman"/>
          <w:i/>
          <w:sz w:val="24"/>
          <w:szCs w:val="24"/>
        </w:rPr>
        <w:t>Madiha Riaz</w:t>
      </w:r>
      <w:r w:rsidRPr="00084802">
        <w:rPr>
          <w:rFonts w:ascii="Times New Roman" w:eastAsia="Calibri" w:hAnsi="Times New Roman" w:cs="Times New Roman"/>
          <w:i/>
          <w:sz w:val="24"/>
          <w:szCs w:val="24"/>
          <w:vertAlign w:val="superscript"/>
        </w:rPr>
        <w:t>1</w:t>
      </w:r>
      <w:r w:rsidRPr="00084802">
        <w:rPr>
          <w:rFonts w:ascii="Times New Roman" w:eastAsia="Calibri" w:hAnsi="Times New Roman" w:cs="Times New Roman"/>
          <w:i/>
          <w:sz w:val="24"/>
          <w:szCs w:val="24"/>
        </w:rPr>
        <w:t>,</w:t>
      </w:r>
      <w:r w:rsidR="0017265C" w:rsidRPr="00084802">
        <w:rPr>
          <w:rFonts w:ascii="Times New Roman" w:eastAsia="Calibri" w:hAnsi="Times New Roman" w:cs="Times New Roman"/>
          <w:i/>
          <w:sz w:val="24"/>
          <w:szCs w:val="24"/>
        </w:rPr>
        <w:t xml:space="preserve"> Nausheen Syed</w:t>
      </w:r>
      <w:r w:rsidR="0017265C" w:rsidRPr="00084802">
        <w:rPr>
          <w:rFonts w:ascii="Times New Roman" w:eastAsia="Calibri" w:hAnsi="Times New Roman" w:cs="Times New Roman"/>
          <w:i/>
          <w:sz w:val="24"/>
          <w:szCs w:val="24"/>
          <w:vertAlign w:val="superscript"/>
        </w:rPr>
        <w:t>2</w:t>
      </w:r>
      <w:r w:rsidR="0017265C" w:rsidRPr="00084802">
        <w:rPr>
          <w:rFonts w:ascii="Times New Roman" w:eastAsia="Calibri" w:hAnsi="Times New Roman" w:cs="Times New Roman"/>
          <w:i/>
          <w:sz w:val="24"/>
          <w:szCs w:val="24"/>
        </w:rPr>
        <w:t>, Zia-Ur-Rahman</w:t>
      </w:r>
      <w:r w:rsidR="0017265C" w:rsidRPr="00084802">
        <w:rPr>
          <w:rFonts w:ascii="Times New Roman" w:eastAsia="Calibri" w:hAnsi="Times New Roman" w:cs="Times New Roman"/>
          <w:i/>
          <w:sz w:val="24"/>
          <w:szCs w:val="24"/>
          <w:vertAlign w:val="superscript"/>
        </w:rPr>
        <w:t>3</w:t>
      </w:r>
      <w:r w:rsidR="0017265C" w:rsidRPr="00084802">
        <w:rPr>
          <w:rFonts w:ascii="Times New Roman" w:eastAsia="Calibri" w:hAnsi="Times New Roman" w:cs="Times New Roman"/>
          <w:i/>
          <w:sz w:val="24"/>
          <w:szCs w:val="24"/>
        </w:rPr>
        <w:t>, Saeed-Ur-Rahman</w:t>
      </w:r>
      <w:r w:rsidR="0017265C" w:rsidRPr="00084802">
        <w:rPr>
          <w:rFonts w:ascii="Times New Roman" w:eastAsia="Calibri" w:hAnsi="Times New Roman" w:cs="Times New Roman"/>
          <w:i/>
          <w:sz w:val="24"/>
          <w:szCs w:val="24"/>
          <w:vertAlign w:val="superscript"/>
        </w:rPr>
        <w:t>4,</w:t>
      </w:r>
      <w:r w:rsidR="0017265C" w:rsidRPr="00084802">
        <w:rPr>
          <w:rFonts w:ascii="Times New Roman" w:eastAsia="Calibri" w:hAnsi="Times New Roman" w:cs="Times New Roman"/>
          <w:i/>
          <w:sz w:val="24"/>
          <w:szCs w:val="24"/>
        </w:rPr>
        <w:t xml:space="preserve"> Shafqat</w:t>
      </w:r>
      <w:bookmarkStart w:id="0" w:name="_GoBack"/>
      <w:bookmarkEnd w:id="0"/>
      <w:r w:rsidR="0017265C" w:rsidRPr="00084802">
        <w:rPr>
          <w:rFonts w:ascii="Times New Roman" w:eastAsia="Calibri" w:hAnsi="Times New Roman" w:cs="Times New Roman"/>
          <w:i/>
          <w:sz w:val="24"/>
          <w:szCs w:val="24"/>
        </w:rPr>
        <w:t xml:space="preserve"> Abbas</w:t>
      </w:r>
      <w:r w:rsidR="0017265C" w:rsidRPr="00084802">
        <w:rPr>
          <w:rFonts w:ascii="Times New Roman" w:eastAsia="Calibri" w:hAnsi="Times New Roman" w:cs="Times New Roman"/>
          <w:i/>
          <w:sz w:val="24"/>
          <w:szCs w:val="24"/>
          <w:vertAlign w:val="superscript"/>
        </w:rPr>
        <w:t>5</w:t>
      </w:r>
    </w:p>
    <w:p w:rsidR="0017265C" w:rsidRPr="00084802" w:rsidRDefault="0017265C" w:rsidP="009747BB">
      <w:pPr>
        <w:spacing w:after="0" w:line="360" w:lineRule="auto"/>
        <w:jc w:val="center"/>
        <w:rPr>
          <w:rFonts w:ascii="Times New Roman" w:eastAsia="Calibri" w:hAnsi="Times New Roman" w:cs="Times New Roman"/>
          <w:sz w:val="24"/>
          <w:szCs w:val="24"/>
        </w:rPr>
      </w:pPr>
      <w:r w:rsidRPr="00084802">
        <w:rPr>
          <w:rFonts w:ascii="Times New Roman" w:eastAsia="Calibri" w:hAnsi="Times New Roman" w:cs="Times New Roman"/>
          <w:sz w:val="24"/>
          <w:szCs w:val="24"/>
          <w:vertAlign w:val="superscript"/>
        </w:rPr>
        <w:t>1,3,4,5</w:t>
      </w:r>
      <w:r w:rsidR="006D4CC8" w:rsidRPr="00084802">
        <w:rPr>
          <w:rFonts w:ascii="Times New Roman" w:eastAsia="Calibri" w:hAnsi="Times New Roman" w:cs="Times New Roman"/>
          <w:sz w:val="24"/>
          <w:szCs w:val="24"/>
        </w:rPr>
        <w:t>Department of Economics, Ghazi University, D.G. Khan</w:t>
      </w:r>
      <w:r w:rsidRPr="00084802">
        <w:rPr>
          <w:rFonts w:ascii="Times New Roman" w:eastAsia="Calibri" w:hAnsi="Times New Roman" w:cs="Times New Roman"/>
          <w:sz w:val="24"/>
          <w:szCs w:val="24"/>
        </w:rPr>
        <w:t>,</w:t>
      </w:r>
    </w:p>
    <w:p w:rsidR="0017265C" w:rsidRPr="00084802" w:rsidRDefault="0017265C" w:rsidP="009747BB">
      <w:pPr>
        <w:spacing w:after="0" w:line="360" w:lineRule="auto"/>
        <w:jc w:val="center"/>
        <w:rPr>
          <w:rFonts w:ascii="Times New Roman" w:eastAsia="Calibri" w:hAnsi="Times New Roman" w:cs="Times New Roman"/>
          <w:sz w:val="24"/>
          <w:szCs w:val="24"/>
        </w:rPr>
      </w:pPr>
      <w:r w:rsidRPr="00084802">
        <w:rPr>
          <w:rFonts w:ascii="Times New Roman" w:eastAsia="Calibri" w:hAnsi="Times New Roman" w:cs="Times New Roman"/>
          <w:sz w:val="24"/>
          <w:szCs w:val="24"/>
          <w:vertAlign w:val="superscript"/>
        </w:rPr>
        <w:t>2</w:t>
      </w:r>
      <w:r w:rsidRPr="00084802">
        <w:rPr>
          <w:rFonts w:ascii="Times New Roman" w:eastAsia="Calibri" w:hAnsi="Times New Roman" w:cs="Times New Roman"/>
          <w:sz w:val="24"/>
          <w:szCs w:val="24"/>
        </w:rPr>
        <w:t>Government College Women University Faisalabad</w:t>
      </w:r>
    </w:p>
    <w:p w:rsidR="001959B8" w:rsidRPr="00084802" w:rsidRDefault="009747BB" w:rsidP="009747BB">
      <w:pPr>
        <w:spacing w:after="0" w:line="360" w:lineRule="auto"/>
        <w:jc w:val="center"/>
        <w:rPr>
          <w:rFonts w:ascii="Times New Roman" w:eastAsia="Calibri" w:hAnsi="Times New Roman" w:cs="Times New Roman"/>
          <w:sz w:val="24"/>
          <w:szCs w:val="24"/>
        </w:rPr>
      </w:pPr>
      <w:r w:rsidRPr="00084802">
        <w:rPr>
          <w:rFonts w:ascii="Times New Roman" w:eastAsia="Calibri" w:hAnsi="Times New Roman" w:cs="Times New Roman"/>
          <w:sz w:val="24"/>
          <w:szCs w:val="24"/>
        </w:rPr>
        <w:t>E.mail:</w:t>
      </w:r>
      <w:r w:rsidR="0017265C" w:rsidRPr="00084802">
        <w:rPr>
          <w:rFonts w:ascii="Times New Roman" w:eastAsia="Calibri" w:hAnsi="Times New Roman" w:cs="Times New Roman"/>
          <w:color w:val="0070C0"/>
          <w:sz w:val="24"/>
          <w:szCs w:val="24"/>
          <w:vertAlign w:val="superscript"/>
        </w:rPr>
        <w:t>1</w:t>
      </w:r>
      <w:hyperlink r:id="rId10" w:history="1">
        <w:r w:rsidR="006D4CC8" w:rsidRPr="00084802">
          <w:rPr>
            <w:rStyle w:val="Hyperlink"/>
            <w:rFonts w:ascii="Times New Roman" w:eastAsia="Calibri" w:hAnsi="Times New Roman" w:cs="Times New Roman"/>
            <w:sz w:val="24"/>
            <w:szCs w:val="24"/>
          </w:rPr>
          <w:t>mriaz@gudgk.edu.pk</w:t>
        </w:r>
      </w:hyperlink>
      <w:r w:rsidR="0017265C" w:rsidRPr="00084802">
        <w:rPr>
          <w:rStyle w:val="Hyperlink"/>
          <w:rFonts w:ascii="Times New Roman" w:eastAsia="Calibri" w:hAnsi="Times New Roman" w:cs="Times New Roman"/>
          <w:sz w:val="24"/>
          <w:szCs w:val="24"/>
        </w:rPr>
        <w:t xml:space="preserve"> ,</w:t>
      </w:r>
      <w:r w:rsidR="0017265C" w:rsidRPr="00084802">
        <w:rPr>
          <w:rFonts w:ascii="Times New Roman" w:eastAsia="Calibri" w:hAnsi="Times New Roman" w:cs="Times New Roman"/>
          <w:color w:val="0070C0"/>
          <w:sz w:val="24"/>
          <w:szCs w:val="24"/>
          <w:vertAlign w:val="superscript"/>
        </w:rPr>
        <w:t>2</w:t>
      </w:r>
      <w:hyperlink r:id="rId11" w:history="1">
        <w:r w:rsidR="001959B8" w:rsidRPr="00084802">
          <w:rPr>
            <w:rStyle w:val="Hyperlink"/>
            <w:rFonts w:ascii="Times New Roman" w:eastAsia="Calibri" w:hAnsi="Times New Roman" w:cs="Times New Roman"/>
            <w:sz w:val="24"/>
            <w:szCs w:val="24"/>
          </w:rPr>
          <w:t>nausheensyed@gcwuf.edu.pk</w:t>
        </w:r>
      </w:hyperlink>
      <w:r w:rsidR="0017265C" w:rsidRPr="00084802">
        <w:rPr>
          <w:rStyle w:val="Hyperlink"/>
          <w:rFonts w:ascii="Times New Roman" w:eastAsia="Calibri" w:hAnsi="Times New Roman" w:cs="Times New Roman"/>
          <w:sz w:val="24"/>
          <w:szCs w:val="24"/>
        </w:rPr>
        <w:t>,</w:t>
      </w:r>
      <w:r w:rsidR="0017265C" w:rsidRPr="00084802">
        <w:rPr>
          <w:rFonts w:ascii="Times New Roman" w:hAnsi="Times New Roman" w:cs="Times New Roman"/>
          <w:color w:val="0070C0"/>
          <w:sz w:val="24"/>
          <w:szCs w:val="24"/>
          <w:vertAlign w:val="superscript"/>
        </w:rPr>
        <w:t>3</w:t>
      </w:r>
      <w:hyperlink r:id="rId12" w:history="1">
        <w:r w:rsidR="001959B8" w:rsidRPr="00084802">
          <w:rPr>
            <w:rStyle w:val="Hyperlink"/>
            <w:rFonts w:ascii="Times New Roman" w:eastAsia="Calibri" w:hAnsi="Times New Roman" w:cs="Times New Roman"/>
            <w:sz w:val="24"/>
            <w:szCs w:val="24"/>
          </w:rPr>
          <w:t>Zia4939@gmail.com</w:t>
        </w:r>
      </w:hyperlink>
      <w:r w:rsidR="0017265C" w:rsidRPr="00084802">
        <w:rPr>
          <w:rStyle w:val="Hyperlink"/>
          <w:rFonts w:ascii="Times New Roman" w:eastAsia="Calibri" w:hAnsi="Times New Roman" w:cs="Times New Roman"/>
          <w:sz w:val="24"/>
          <w:szCs w:val="24"/>
        </w:rPr>
        <w:t>,</w:t>
      </w:r>
    </w:p>
    <w:p w:rsidR="001959B8" w:rsidRPr="00084802" w:rsidRDefault="0017265C" w:rsidP="009747BB">
      <w:pPr>
        <w:spacing w:after="0" w:line="360" w:lineRule="auto"/>
        <w:jc w:val="center"/>
        <w:rPr>
          <w:rStyle w:val="Hyperlink"/>
          <w:rFonts w:ascii="Times New Roman" w:eastAsia="Calibri" w:hAnsi="Times New Roman" w:cs="Times New Roman"/>
          <w:sz w:val="24"/>
          <w:szCs w:val="24"/>
        </w:rPr>
      </w:pPr>
      <w:r w:rsidRPr="00084802">
        <w:rPr>
          <w:rFonts w:ascii="Times New Roman" w:hAnsi="Times New Roman" w:cs="Times New Roman"/>
          <w:color w:val="0070C0"/>
          <w:sz w:val="24"/>
          <w:szCs w:val="24"/>
          <w:vertAlign w:val="superscript"/>
        </w:rPr>
        <w:t>4</w:t>
      </w:r>
      <w:hyperlink r:id="rId13" w:history="1">
        <w:r w:rsidR="001959B8" w:rsidRPr="00084802">
          <w:rPr>
            <w:rStyle w:val="Hyperlink"/>
            <w:rFonts w:ascii="Times New Roman" w:eastAsia="Calibri" w:hAnsi="Times New Roman" w:cs="Times New Roman"/>
            <w:sz w:val="24"/>
            <w:szCs w:val="24"/>
          </w:rPr>
          <w:t>Saeedurrahman16@gmail.com</w:t>
        </w:r>
      </w:hyperlink>
      <w:r w:rsidRPr="00084802">
        <w:rPr>
          <w:rStyle w:val="Hyperlink"/>
          <w:rFonts w:ascii="Times New Roman" w:eastAsia="Calibri" w:hAnsi="Times New Roman" w:cs="Times New Roman"/>
          <w:sz w:val="24"/>
          <w:szCs w:val="24"/>
        </w:rPr>
        <w:t>,</w:t>
      </w:r>
      <w:r w:rsidRPr="00084802">
        <w:rPr>
          <w:rFonts w:ascii="Times New Roman" w:hAnsi="Times New Roman" w:cs="Times New Roman"/>
          <w:color w:val="0070C0"/>
          <w:sz w:val="24"/>
          <w:szCs w:val="24"/>
          <w:vertAlign w:val="superscript"/>
        </w:rPr>
        <w:t>5</w:t>
      </w:r>
      <w:hyperlink r:id="rId14" w:history="1">
        <w:r w:rsidR="001959B8" w:rsidRPr="00084802">
          <w:rPr>
            <w:rStyle w:val="Hyperlink"/>
            <w:rFonts w:ascii="Times New Roman" w:eastAsia="Calibri" w:hAnsi="Times New Roman" w:cs="Times New Roman"/>
            <w:sz w:val="24"/>
            <w:szCs w:val="24"/>
          </w:rPr>
          <w:t>Shafqat2567@gmail.com</w:t>
        </w:r>
      </w:hyperlink>
    </w:p>
    <w:p w:rsidR="009747BB" w:rsidRPr="005C36F5" w:rsidRDefault="009747BB" w:rsidP="009747BB">
      <w:pPr>
        <w:spacing w:after="0" w:line="240" w:lineRule="auto"/>
        <w:jc w:val="center"/>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9016"/>
      </w:tblGrid>
      <w:tr w:rsidR="009747BB" w:rsidTr="009747BB">
        <w:tc>
          <w:tcPr>
            <w:tcW w:w="9242" w:type="dxa"/>
          </w:tcPr>
          <w:p w:rsidR="009747BB" w:rsidRPr="009747BB" w:rsidRDefault="009747BB" w:rsidP="009747BB">
            <w:pPr>
              <w:jc w:val="both"/>
              <w:rPr>
                <w:rFonts w:ascii="Times New Roman" w:eastAsia="Calibri" w:hAnsi="Times New Roman" w:cs="Times New Roman"/>
                <w:b/>
                <w:sz w:val="24"/>
                <w:szCs w:val="24"/>
              </w:rPr>
            </w:pPr>
            <w:r w:rsidRPr="009747BB">
              <w:rPr>
                <w:rFonts w:ascii="Times New Roman" w:eastAsia="Calibri" w:hAnsi="Times New Roman" w:cs="Times New Roman"/>
                <w:b/>
                <w:sz w:val="24"/>
                <w:szCs w:val="24"/>
              </w:rPr>
              <w:t>Madiha Riaz, Nausheen Syed, Zia-Ur-Rahman, Saeed-Ur-Rahman</w:t>
            </w:r>
            <w:r w:rsidRPr="009747BB">
              <w:rPr>
                <w:rFonts w:ascii="Times New Roman" w:eastAsia="Calibri" w:hAnsi="Times New Roman" w:cs="Times New Roman"/>
                <w:b/>
                <w:sz w:val="24"/>
                <w:szCs w:val="24"/>
                <w:vertAlign w:val="superscript"/>
              </w:rPr>
              <w:t>,</w:t>
            </w:r>
            <w:r w:rsidRPr="009747BB">
              <w:rPr>
                <w:rFonts w:ascii="Times New Roman" w:eastAsia="Calibri" w:hAnsi="Times New Roman" w:cs="Times New Roman"/>
                <w:b/>
                <w:sz w:val="24"/>
                <w:szCs w:val="24"/>
              </w:rPr>
              <w:t xml:space="preserve"> Shafqat Abbas. Application Of Data Envelopment Analysis For Exploring Bilateral Trade Potentials--</w:t>
            </w:r>
            <w:r w:rsidRPr="009747BB">
              <w:rPr>
                <w:rFonts w:ascii="Times New Roman" w:hAnsi="Times New Roman" w:cs="Times New Roman"/>
                <w:b/>
                <w:sz w:val="24"/>
                <w:szCs w:val="24"/>
              </w:rPr>
              <w:t xml:space="preserve"> Palarch’s Journal Of Archaeology Of Egypt/Egyptology 18(1), </w:t>
            </w:r>
            <w:r w:rsidR="00E779FD">
              <w:rPr>
                <w:rFonts w:ascii="Times New Roman" w:hAnsi="Times New Roman" w:cs="Times New Roman"/>
                <w:b/>
                <w:sz w:val="24"/>
                <w:szCs w:val="24"/>
              </w:rPr>
              <w:t>4906-</w:t>
            </w:r>
            <w:r w:rsidRPr="009747BB">
              <w:rPr>
                <w:rFonts w:ascii="Times New Roman" w:hAnsi="Times New Roman" w:cs="Times New Roman"/>
                <w:b/>
                <w:sz w:val="24"/>
                <w:szCs w:val="24"/>
              </w:rPr>
              <w:t>4</w:t>
            </w:r>
            <w:r w:rsidR="00E779FD">
              <w:rPr>
                <w:rFonts w:ascii="Times New Roman" w:hAnsi="Times New Roman" w:cs="Times New Roman"/>
                <w:b/>
                <w:sz w:val="24"/>
                <w:szCs w:val="24"/>
              </w:rPr>
              <w:t>921</w:t>
            </w:r>
            <w:r w:rsidRPr="009747BB">
              <w:rPr>
                <w:rFonts w:ascii="Times New Roman" w:hAnsi="Times New Roman" w:cs="Times New Roman"/>
                <w:b/>
                <w:sz w:val="24"/>
                <w:szCs w:val="24"/>
              </w:rPr>
              <w:t>. ISSN 1567-214x</w:t>
            </w:r>
          </w:p>
          <w:p w:rsidR="009747BB" w:rsidRPr="009747BB" w:rsidRDefault="009747BB" w:rsidP="009747BB">
            <w:pPr>
              <w:jc w:val="both"/>
              <w:rPr>
                <w:rFonts w:ascii="Times New Roman" w:eastAsia="Calibri" w:hAnsi="Times New Roman" w:cs="Times New Roman"/>
                <w:b/>
                <w:sz w:val="24"/>
                <w:szCs w:val="24"/>
              </w:rPr>
            </w:pPr>
          </w:p>
          <w:p w:rsidR="009747BB" w:rsidRPr="009747BB" w:rsidRDefault="00E924BB" w:rsidP="009747BB">
            <w:pPr>
              <w:tabs>
                <w:tab w:val="left" w:pos="360"/>
              </w:tabs>
              <w:jc w:val="both"/>
              <w:rPr>
                <w:rFonts w:ascii="Times New Roman" w:hAnsi="Times New Roman" w:cs="Times New Roman"/>
                <w:b/>
                <w:sz w:val="24"/>
                <w:szCs w:val="24"/>
              </w:rPr>
            </w:pPr>
            <w:r>
              <w:rPr>
                <w:rFonts w:ascii="Times New Roman" w:hAnsi="Times New Roman" w:cs="Times New Roman"/>
                <w:b/>
                <w:sz w:val="24"/>
                <w:szCs w:val="24"/>
              </w:rPr>
              <w:t xml:space="preserve">Key words; Gravity model, DEA, </w:t>
            </w:r>
            <w:r w:rsidR="009747BB" w:rsidRPr="009747BB">
              <w:rPr>
                <w:rFonts w:ascii="Times New Roman" w:hAnsi="Times New Roman" w:cs="Times New Roman"/>
                <w:b/>
                <w:sz w:val="24"/>
                <w:szCs w:val="24"/>
              </w:rPr>
              <w:t>Trade Partners, Trade Potentials, Optimum utilization.</w:t>
            </w:r>
            <w:r w:rsidR="00084802">
              <w:rPr>
                <w:rFonts w:ascii="Times New Roman" w:hAnsi="Times New Roman" w:cs="Times New Roman"/>
                <w:b/>
                <w:sz w:val="24"/>
                <w:szCs w:val="24"/>
              </w:rPr>
              <w:t xml:space="preserve"> </w:t>
            </w:r>
            <w:r w:rsidR="009747BB" w:rsidRPr="009747BB">
              <w:rPr>
                <w:rFonts w:ascii="Times New Roman" w:hAnsi="Times New Roman" w:cs="Times New Roman"/>
                <w:b/>
                <w:sz w:val="24"/>
                <w:szCs w:val="24"/>
              </w:rPr>
              <w:t>JEL codes:  F10, F11, F14, F1</w:t>
            </w:r>
          </w:p>
          <w:p w:rsidR="009747BB" w:rsidRDefault="009747BB" w:rsidP="005C36F5">
            <w:pPr>
              <w:jc w:val="both"/>
              <w:rPr>
                <w:rFonts w:ascii="Times New Roman" w:eastAsia="Calibri" w:hAnsi="Times New Roman" w:cs="Times New Roman"/>
                <w:sz w:val="24"/>
                <w:szCs w:val="24"/>
              </w:rPr>
            </w:pPr>
          </w:p>
        </w:tc>
      </w:tr>
    </w:tbl>
    <w:p w:rsidR="00775C8E" w:rsidRPr="005C36F5" w:rsidRDefault="00775C8E" w:rsidP="005C36F5">
      <w:pPr>
        <w:spacing w:after="0" w:line="240" w:lineRule="auto"/>
        <w:jc w:val="both"/>
        <w:rPr>
          <w:rFonts w:ascii="Times New Roman" w:eastAsia="Calibri" w:hAnsi="Times New Roman" w:cs="Times New Roman"/>
          <w:sz w:val="24"/>
          <w:szCs w:val="24"/>
        </w:rPr>
      </w:pPr>
    </w:p>
    <w:p w:rsidR="00C36189" w:rsidRPr="005C36F5" w:rsidRDefault="009747BB" w:rsidP="005C36F5">
      <w:pPr>
        <w:spacing w:after="0" w:line="240" w:lineRule="auto"/>
        <w:jc w:val="both"/>
        <w:rPr>
          <w:rFonts w:ascii="Times New Roman" w:hAnsi="Times New Roman" w:cs="Times New Roman"/>
          <w:b/>
          <w:sz w:val="24"/>
          <w:szCs w:val="24"/>
        </w:rPr>
      </w:pPr>
      <w:r w:rsidRPr="005C36F5">
        <w:rPr>
          <w:rFonts w:ascii="Times New Roman" w:hAnsi="Times New Roman" w:cs="Times New Roman"/>
          <w:b/>
          <w:sz w:val="24"/>
          <w:szCs w:val="24"/>
        </w:rPr>
        <w:t>ABSTRACT</w:t>
      </w:r>
    </w:p>
    <w:p w:rsidR="00C36189" w:rsidRPr="005C36F5" w:rsidRDefault="00431C1C" w:rsidP="005C36F5">
      <w:pPr>
        <w:spacing w:after="0" w:line="240" w:lineRule="auto"/>
        <w:jc w:val="both"/>
        <w:rPr>
          <w:rFonts w:ascii="Times New Roman" w:hAnsi="Times New Roman" w:cs="Times New Roman"/>
          <w:sz w:val="24"/>
          <w:szCs w:val="24"/>
        </w:rPr>
      </w:pPr>
      <w:r w:rsidRPr="005C36F5">
        <w:rPr>
          <w:rFonts w:ascii="Times New Roman" w:hAnsi="Times New Roman" w:cs="Times New Roman"/>
          <w:sz w:val="24"/>
          <w:szCs w:val="24"/>
        </w:rPr>
        <w:t>Global Economy has been</w:t>
      </w:r>
      <w:r w:rsidR="00BE3D26" w:rsidRPr="005C36F5">
        <w:rPr>
          <w:rFonts w:ascii="Times New Roman" w:hAnsi="Times New Roman" w:cs="Times New Roman"/>
          <w:sz w:val="24"/>
          <w:szCs w:val="24"/>
        </w:rPr>
        <w:t xml:space="preserve"> com</w:t>
      </w:r>
      <w:r w:rsidRPr="005C36F5">
        <w:rPr>
          <w:rFonts w:ascii="Times New Roman" w:hAnsi="Times New Roman" w:cs="Times New Roman"/>
          <w:sz w:val="24"/>
          <w:szCs w:val="24"/>
        </w:rPr>
        <w:t>pletely transformed since the last few decades because</w:t>
      </w:r>
      <w:r w:rsidR="00BE3D26" w:rsidRPr="005C36F5">
        <w:rPr>
          <w:rFonts w:ascii="Times New Roman" w:hAnsi="Times New Roman" w:cs="Times New Roman"/>
          <w:sz w:val="24"/>
          <w:szCs w:val="24"/>
        </w:rPr>
        <w:t xml:space="preserve"> of momentous growth is trade. Export led economic growth has transformed the direction of policy makers in almost every country. Trade relations </w:t>
      </w:r>
      <w:r w:rsidRPr="005C36F5">
        <w:rPr>
          <w:rFonts w:ascii="Times New Roman" w:hAnsi="Times New Roman" w:cs="Times New Roman"/>
          <w:sz w:val="24"/>
          <w:szCs w:val="24"/>
        </w:rPr>
        <w:t>escort</w:t>
      </w:r>
      <w:r w:rsidR="00BE3D26" w:rsidRPr="005C36F5">
        <w:rPr>
          <w:rFonts w:ascii="Times New Roman" w:hAnsi="Times New Roman" w:cs="Times New Roman"/>
          <w:sz w:val="24"/>
          <w:szCs w:val="24"/>
        </w:rPr>
        <w:t xml:space="preserve"> to economic growt</w:t>
      </w:r>
      <w:r w:rsidRPr="005C36F5">
        <w:rPr>
          <w:rFonts w:ascii="Times New Roman" w:hAnsi="Times New Roman" w:cs="Times New Roman"/>
          <w:sz w:val="24"/>
          <w:szCs w:val="24"/>
        </w:rPr>
        <w:t>h</w:t>
      </w:r>
      <w:r w:rsidR="00BE3D26" w:rsidRPr="005C36F5">
        <w:rPr>
          <w:rFonts w:ascii="Times New Roman" w:hAnsi="Times New Roman" w:cs="Times New Roman"/>
          <w:sz w:val="24"/>
          <w:szCs w:val="24"/>
        </w:rPr>
        <w:t xml:space="preserve">.  Therefore, this study is structured to grasp the picture of bilateral trade relations </w:t>
      </w:r>
      <w:r w:rsidRPr="005C36F5">
        <w:rPr>
          <w:rFonts w:ascii="Times New Roman" w:hAnsi="Times New Roman" w:cs="Times New Roman"/>
          <w:sz w:val="24"/>
          <w:szCs w:val="24"/>
        </w:rPr>
        <w:t>of Pakistan with other countries</w:t>
      </w:r>
      <w:r w:rsidR="00BE3D26" w:rsidRPr="005C36F5">
        <w:rPr>
          <w:rFonts w:ascii="Times New Roman" w:hAnsi="Times New Roman" w:cs="Times New Roman"/>
          <w:sz w:val="24"/>
          <w:szCs w:val="24"/>
        </w:rPr>
        <w:t xml:space="preserve">. To analyze the </w:t>
      </w:r>
      <w:r w:rsidRPr="005C36F5">
        <w:rPr>
          <w:rFonts w:ascii="Times New Roman" w:hAnsi="Times New Roman" w:cs="Times New Roman"/>
          <w:sz w:val="24"/>
          <w:szCs w:val="24"/>
        </w:rPr>
        <w:t>strength</w:t>
      </w:r>
      <w:r w:rsidR="00BE3D26" w:rsidRPr="005C36F5">
        <w:rPr>
          <w:rFonts w:ascii="Times New Roman" w:hAnsi="Times New Roman" w:cs="Times New Roman"/>
          <w:sz w:val="24"/>
          <w:szCs w:val="24"/>
        </w:rPr>
        <w:t xml:space="preserve"> of trade </w:t>
      </w:r>
      <w:r w:rsidRPr="005C36F5">
        <w:rPr>
          <w:rFonts w:ascii="Times New Roman" w:hAnsi="Times New Roman" w:cs="Times New Roman"/>
          <w:sz w:val="24"/>
          <w:szCs w:val="24"/>
        </w:rPr>
        <w:t>relations</w:t>
      </w:r>
      <w:r w:rsidR="007872B7" w:rsidRPr="005C36F5">
        <w:rPr>
          <w:rFonts w:ascii="Times New Roman" w:hAnsi="Times New Roman" w:cs="Times New Roman"/>
          <w:sz w:val="24"/>
          <w:szCs w:val="24"/>
        </w:rPr>
        <w:t>, the</w:t>
      </w:r>
      <w:r w:rsidR="00BE3D26" w:rsidRPr="005C36F5">
        <w:rPr>
          <w:rFonts w:ascii="Times New Roman" w:hAnsi="Times New Roman" w:cs="Times New Roman"/>
          <w:sz w:val="24"/>
          <w:szCs w:val="24"/>
        </w:rPr>
        <w:t xml:space="preserve"> theoretical and empirical concept</w:t>
      </w:r>
      <w:r w:rsidR="007872B7" w:rsidRPr="005C36F5">
        <w:rPr>
          <w:rFonts w:ascii="Times New Roman" w:hAnsi="Times New Roman" w:cs="Times New Roman"/>
          <w:sz w:val="24"/>
          <w:szCs w:val="24"/>
        </w:rPr>
        <w:t xml:space="preserve"> of the gravity model </w:t>
      </w:r>
      <w:r w:rsidR="008739DE" w:rsidRPr="005C36F5">
        <w:rPr>
          <w:rFonts w:ascii="Times New Roman" w:hAnsi="Times New Roman" w:cs="Times New Roman"/>
          <w:sz w:val="24"/>
          <w:szCs w:val="24"/>
        </w:rPr>
        <w:t>has been utilized in the study. Further</w:t>
      </w:r>
      <w:r w:rsidR="007872B7" w:rsidRPr="005C36F5">
        <w:rPr>
          <w:rFonts w:ascii="Times New Roman" w:hAnsi="Times New Roman" w:cs="Times New Roman"/>
          <w:sz w:val="24"/>
          <w:szCs w:val="24"/>
        </w:rPr>
        <w:t xml:space="preserve"> trade </w:t>
      </w:r>
      <w:r w:rsidR="00E2615E" w:rsidRPr="005C36F5">
        <w:rPr>
          <w:rFonts w:ascii="Times New Roman" w:hAnsi="Times New Roman" w:cs="Times New Roman"/>
          <w:sz w:val="24"/>
          <w:szCs w:val="24"/>
        </w:rPr>
        <w:t>partner’s</w:t>
      </w:r>
      <w:r w:rsidR="004C76DE" w:rsidRPr="005C36F5">
        <w:rPr>
          <w:rFonts w:ascii="Times New Roman" w:hAnsi="Times New Roman" w:cs="Times New Roman"/>
          <w:sz w:val="24"/>
          <w:szCs w:val="24"/>
        </w:rPr>
        <w:t xml:space="preserve"> countries are ranked.</w:t>
      </w:r>
      <w:r w:rsidR="00E2615E" w:rsidRPr="005C36F5">
        <w:rPr>
          <w:rFonts w:ascii="Times New Roman" w:hAnsi="Times New Roman" w:cs="Times New Roman"/>
          <w:sz w:val="24"/>
          <w:szCs w:val="24"/>
        </w:rPr>
        <w:t xml:space="preserve"> </w:t>
      </w:r>
      <w:r w:rsidR="00BE3D26" w:rsidRPr="005C36F5">
        <w:rPr>
          <w:rFonts w:ascii="Times New Roman" w:hAnsi="Times New Roman" w:cs="Times New Roman"/>
          <w:sz w:val="24"/>
          <w:szCs w:val="24"/>
        </w:rPr>
        <w:t>Rank</w:t>
      </w:r>
      <w:r w:rsidR="008739DE" w:rsidRPr="005C36F5">
        <w:rPr>
          <w:rFonts w:ascii="Times New Roman" w:hAnsi="Times New Roman" w:cs="Times New Roman"/>
          <w:sz w:val="24"/>
          <w:szCs w:val="24"/>
        </w:rPr>
        <w:t>ing of the countries is made by applying the</w:t>
      </w:r>
      <w:r w:rsidR="00BE3D26" w:rsidRPr="005C36F5">
        <w:rPr>
          <w:rFonts w:ascii="Times New Roman" w:hAnsi="Times New Roman" w:cs="Times New Roman"/>
          <w:sz w:val="24"/>
          <w:szCs w:val="24"/>
        </w:rPr>
        <w:t xml:space="preserve"> Data Envelopment Analysis (DEA)</w:t>
      </w:r>
      <w:r w:rsidR="008739DE" w:rsidRPr="005C36F5">
        <w:rPr>
          <w:rFonts w:ascii="Times New Roman" w:hAnsi="Times New Roman" w:cs="Times New Roman"/>
          <w:sz w:val="24"/>
          <w:szCs w:val="24"/>
        </w:rPr>
        <w:t>. Gravity</w:t>
      </w:r>
      <w:r w:rsidR="00BE3D26" w:rsidRPr="005C36F5">
        <w:rPr>
          <w:rFonts w:ascii="Times New Roman" w:hAnsi="Times New Roman" w:cs="Times New Roman"/>
          <w:sz w:val="24"/>
          <w:szCs w:val="24"/>
        </w:rPr>
        <w:t xml:space="preserve"> </w:t>
      </w:r>
      <w:r w:rsidR="008739DE" w:rsidRPr="005C36F5">
        <w:rPr>
          <w:rFonts w:ascii="Times New Roman" w:hAnsi="Times New Roman" w:cs="Times New Roman"/>
          <w:sz w:val="24"/>
          <w:szCs w:val="24"/>
        </w:rPr>
        <w:t xml:space="preserve">model concept is employed </w:t>
      </w:r>
      <w:r w:rsidR="00BE3D26" w:rsidRPr="005C36F5">
        <w:rPr>
          <w:rFonts w:ascii="Times New Roman" w:hAnsi="Times New Roman" w:cs="Times New Roman"/>
          <w:sz w:val="24"/>
          <w:szCs w:val="24"/>
        </w:rPr>
        <w:t>to select the input and output for the DEA model</w:t>
      </w:r>
      <w:r w:rsidR="008739DE" w:rsidRPr="005C36F5">
        <w:rPr>
          <w:rFonts w:ascii="Times New Roman" w:hAnsi="Times New Roman" w:cs="Times New Roman"/>
          <w:sz w:val="24"/>
          <w:szCs w:val="24"/>
        </w:rPr>
        <w:t>, in</w:t>
      </w:r>
      <w:r w:rsidR="00BE3D26" w:rsidRPr="005C36F5">
        <w:rPr>
          <w:rFonts w:ascii="Times New Roman" w:hAnsi="Times New Roman" w:cs="Times New Roman"/>
          <w:sz w:val="24"/>
          <w:szCs w:val="24"/>
        </w:rPr>
        <w:t xml:space="preserve"> order to rank the countries in reference to the utilization of their bilateral trade potential with Pakistan.  Gross Domestic Product, Total Population, Per capita gross domestic product and distance between Partner country and Pakistan are used as input variables. Bilateral trade flows (Export+ Import) between Pakistan and it relevant Partner is taken as output. Finding of the study depicts the ranking of the trade </w:t>
      </w:r>
      <w:r w:rsidR="00E924BB" w:rsidRPr="005C36F5">
        <w:rPr>
          <w:rFonts w:ascii="Times New Roman" w:hAnsi="Times New Roman" w:cs="Times New Roman"/>
          <w:sz w:val="24"/>
          <w:szCs w:val="24"/>
        </w:rPr>
        <w:t>partners</w:t>
      </w:r>
      <w:r w:rsidR="00BE3D26" w:rsidRPr="005C36F5">
        <w:rPr>
          <w:rFonts w:ascii="Times New Roman" w:hAnsi="Times New Roman" w:cs="Times New Roman"/>
          <w:sz w:val="24"/>
          <w:szCs w:val="24"/>
        </w:rPr>
        <w:t xml:space="preserve"> of Pakistan in reference to the optimum utilization of trade potentials. The counties that are ranked lower represents that they are not exploiting their trade potentials optimally with Pakistan. Hence, following the proposition of the study, Policy makers can get direction to revise their trade policies in order to utilize the potential and get the maximum gain from trade. </w:t>
      </w:r>
    </w:p>
    <w:p w:rsidR="009747BB" w:rsidRDefault="009747BB" w:rsidP="009747BB">
      <w:pPr>
        <w:pStyle w:val="ListParagraph"/>
        <w:spacing w:after="0" w:line="240" w:lineRule="auto"/>
        <w:ind w:left="0"/>
        <w:jc w:val="both"/>
        <w:rPr>
          <w:rFonts w:ascii="Times New Roman" w:hAnsi="Times New Roman" w:cs="Times New Roman"/>
          <w:b/>
          <w:sz w:val="24"/>
          <w:szCs w:val="24"/>
        </w:rPr>
      </w:pPr>
    </w:p>
    <w:p w:rsidR="00084802" w:rsidRDefault="00084802" w:rsidP="00EA6A09">
      <w:pPr>
        <w:pStyle w:val="ListParagraph"/>
        <w:spacing w:after="0" w:line="240" w:lineRule="auto"/>
        <w:ind w:left="1440"/>
        <w:jc w:val="both"/>
        <w:rPr>
          <w:rFonts w:ascii="Times New Roman" w:hAnsi="Times New Roman" w:cs="Times New Roman"/>
          <w:b/>
          <w:sz w:val="24"/>
          <w:szCs w:val="24"/>
        </w:rPr>
      </w:pPr>
    </w:p>
    <w:p w:rsidR="00084802" w:rsidRDefault="00084802" w:rsidP="00EA6A09">
      <w:pPr>
        <w:pStyle w:val="ListParagraph"/>
        <w:spacing w:after="0" w:line="240" w:lineRule="auto"/>
        <w:ind w:left="1440"/>
        <w:jc w:val="both"/>
        <w:rPr>
          <w:rFonts w:ascii="Times New Roman" w:hAnsi="Times New Roman" w:cs="Times New Roman"/>
          <w:b/>
          <w:sz w:val="24"/>
          <w:szCs w:val="24"/>
        </w:rPr>
      </w:pPr>
    </w:p>
    <w:p w:rsidR="00C36189" w:rsidRPr="005C36F5" w:rsidRDefault="009747BB" w:rsidP="00EA6A09">
      <w:pPr>
        <w:pStyle w:val="ListParagraph"/>
        <w:spacing w:after="0" w:line="240" w:lineRule="auto"/>
        <w:ind w:left="1440"/>
        <w:jc w:val="both"/>
        <w:rPr>
          <w:rFonts w:ascii="Times New Roman" w:hAnsi="Times New Roman" w:cs="Times New Roman"/>
          <w:b/>
          <w:sz w:val="24"/>
          <w:szCs w:val="24"/>
        </w:rPr>
      </w:pPr>
      <w:r w:rsidRPr="005C36F5">
        <w:rPr>
          <w:rFonts w:ascii="Times New Roman" w:hAnsi="Times New Roman" w:cs="Times New Roman"/>
          <w:b/>
          <w:sz w:val="24"/>
          <w:szCs w:val="24"/>
        </w:rPr>
        <w:lastRenderedPageBreak/>
        <w:t>INTRODUCTION</w:t>
      </w:r>
    </w:p>
    <w:p w:rsidR="00C36189" w:rsidRDefault="00BE3D26" w:rsidP="00EA6A09">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Global economy has been transformed completely due to the miracles of trade and tec</w:t>
      </w:r>
      <w:r w:rsidR="00270DB4" w:rsidRPr="005C36F5">
        <w:rPr>
          <w:rFonts w:ascii="Times New Roman" w:hAnsi="Times New Roman" w:cs="Times New Roman"/>
          <w:sz w:val="24"/>
          <w:szCs w:val="24"/>
        </w:rPr>
        <w:t>hnology</w:t>
      </w:r>
      <w:r w:rsidRPr="005C36F5">
        <w:rPr>
          <w:rFonts w:ascii="Times New Roman" w:hAnsi="Times New Roman" w:cs="Times New Roman"/>
          <w:sz w:val="24"/>
          <w:szCs w:val="24"/>
        </w:rPr>
        <w:t xml:space="preserve">. Trade has increased global production on one hand and transformation as well as distributional </w:t>
      </w:r>
      <w:r w:rsidR="00270DB4" w:rsidRPr="005C36F5">
        <w:rPr>
          <w:rFonts w:ascii="Times New Roman" w:hAnsi="Times New Roman" w:cs="Times New Roman"/>
          <w:sz w:val="24"/>
          <w:szCs w:val="24"/>
        </w:rPr>
        <w:t>effect</w:t>
      </w:r>
      <w:r w:rsidRPr="005C36F5">
        <w:rPr>
          <w:rFonts w:ascii="Times New Roman" w:hAnsi="Times New Roman" w:cs="Times New Roman"/>
          <w:sz w:val="24"/>
          <w:szCs w:val="24"/>
        </w:rPr>
        <w:t xml:space="preserve"> on other hands. Trade connections between countries comprise of both tangible and intangible commodities. That has generated a complex production chains for these goods and services. Moreover, production chains have increased the flow of trade between countries.</w:t>
      </w:r>
    </w:p>
    <w:p w:rsidR="00EA6A09" w:rsidRPr="005C36F5" w:rsidRDefault="00EA6A09" w:rsidP="00EA6A09">
      <w:pPr>
        <w:autoSpaceDE w:val="0"/>
        <w:autoSpaceDN w:val="0"/>
        <w:adjustRightInd w:val="0"/>
        <w:spacing w:after="0" w:line="240" w:lineRule="auto"/>
        <w:ind w:left="1440"/>
        <w:jc w:val="both"/>
        <w:rPr>
          <w:rFonts w:ascii="Times New Roman" w:hAnsi="Times New Roman" w:cs="Times New Roman"/>
          <w:sz w:val="24"/>
          <w:szCs w:val="24"/>
        </w:rPr>
      </w:pPr>
    </w:p>
    <w:p w:rsidR="00C36189" w:rsidRDefault="00BE3D26" w:rsidP="00EA6A09">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The gravity model of international trade flows is a common approach to modeling bilateral trade flows and </w:t>
      </w:r>
      <w:r w:rsidRPr="005C36F5">
        <w:rPr>
          <w:rFonts w:ascii="Times New Roman" w:eastAsia="Calibri" w:hAnsi="Times New Roman" w:cs="Times New Roman"/>
          <w:sz w:val="24"/>
          <w:szCs w:val="24"/>
        </w:rPr>
        <w:t>has been considered as the workhorse for cross country empirical analysis since last five decades or more</w:t>
      </w:r>
      <w:r w:rsidR="00270DB4" w:rsidRPr="005C36F5">
        <w:rPr>
          <w:rFonts w:ascii="Times New Roman" w:hAnsi="Times New Roman" w:cs="Times New Roman"/>
          <w:sz w:val="24"/>
          <w:szCs w:val="24"/>
        </w:rPr>
        <w:t xml:space="preserve"> (Baier and Bergstrand, 2006)</w:t>
      </w:r>
      <w:r w:rsidRPr="005C36F5">
        <w:rPr>
          <w:rFonts w:ascii="Times New Roman" w:hAnsi="Times New Roman" w:cs="Times New Roman"/>
          <w:sz w:val="24"/>
          <w:szCs w:val="24"/>
        </w:rPr>
        <w:t xml:space="preserve">. Though, gravity model has been criticized due to weak theoretical base and poor </w:t>
      </w:r>
      <w:r w:rsidR="00270DB4" w:rsidRPr="005C36F5">
        <w:rPr>
          <w:rFonts w:ascii="Times New Roman" w:hAnsi="Times New Roman" w:cs="Times New Roman"/>
          <w:sz w:val="24"/>
          <w:szCs w:val="24"/>
        </w:rPr>
        <w:t>micro foundation</w:t>
      </w:r>
      <w:r w:rsidRPr="005C36F5">
        <w:rPr>
          <w:rFonts w:ascii="Times New Roman" w:hAnsi="Times New Roman" w:cs="Times New Roman"/>
          <w:sz w:val="24"/>
          <w:szCs w:val="24"/>
        </w:rPr>
        <w:t xml:space="preserve"> yet several efforts of researchers retorted the model serious disparagement. The first attempt to prove the theoretical justification was made by Anderson (1979). Further the same proposition was used by Bergstrand in (1985), Helpman and Krugman (1985), and Deardoff (1995); they constructed the international trade theory consistent gravity equation for the microeconomic foundations of the model. A large number of theoretical works was done with aggregated data providing empirical application of gravity model for heterogeneous firms. However, Feenstra et al. (2001) was first that applied disaggregated data and empirically found the home-market effect in the gravity equation. Further, Helpman, Melitz and Rubinstein (HMR, 2008); derived a theoretical model and suggested the trade flows at the extensive and intensive margins, estimated the composition of exports and trade flows geographically.HMR work provided the ground to deal with asymmetry and selection biases of the model. Whereas, border puzzle by introducing the dummy variable was studied by Manchin and Pinna (2003), and adding multilateral resistance in McCallum’s equati</w:t>
      </w:r>
      <w:r w:rsidR="007E4973" w:rsidRPr="005C36F5">
        <w:rPr>
          <w:rFonts w:ascii="Times New Roman" w:hAnsi="Times New Roman" w:cs="Times New Roman"/>
          <w:sz w:val="24"/>
          <w:szCs w:val="24"/>
        </w:rPr>
        <w:t xml:space="preserve">on by Anderson and van Wincoop </w:t>
      </w:r>
      <w:r w:rsidRPr="005C36F5">
        <w:rPr>
          <w:rFonts w:ascii="Times New Roman" w:hAnsi="Times New Roman" w:cs="Times New Roman"/>
          <w:sz w:val="24"/>
          <w:szCs w:val="24"/>
        </w:rPr>
        <w:t>(2003).</w:t>
      </w:r>
      <w:r w:rsidR="00084802">
        <w:rPr>
          <w:rFonts w:ascii="Times New Roman" w:hAnsi="Times New Roman" w:cs="Times New Roman"/>
          <w:sz w:val="24"/>
          <w:szCs w:val="24"/>
        </w:rPr>
        <w:t xml:space="preserve"> </w:t>
      </w:r>
      <w:r w:rsidRPr="005C36F5">
        <w:rPr>
          <w:rFonts w:ascii="Times New Roman" w:hAnsi="Times New Roman" w:cs="Times New Roman"/>
          <w:sz w:val="24"/>
          <w:szCs w:val="24"/>
        </w:rPr>
        <w:t>Further, McCullum (1995), Anderson a</w:t>
      </w:r>
      <w:r w:rsidR="007E4973" w:rsidRPr="005C36F5">
        <w:rPr>
          <w:rFonts w:ascii="Times New Roman" w:hAnsi="Times New Roman" w:cs="Times New Roman"/>
          <w:sz w:val="24"/>
          <w:szCs w:val="24"/>
        </w:rPr>
        <w:t xml:space="preserve">nd van Wincoop (2003) suggested </w:t>
      </w:r>
      <w:r w:rsidRPr="005C36F5">
        <w:rPr>
          <w:rFonts w:ascii="Times New Roman" w:hAnsi="Times New Roman" w:cs="Times New Roman"/>
          <w:sz w:val="24"/>
          <w:szCs w:val="24"/>
        </w:rPr>
        <w:t xml:space="preserve">a tedious system of nonlinear equations. Rutherford (2007) explained McCullum’s model in reference to border puzzle effect and pointed out </w:t>
      </w:r>
      <w:r w:rsidR="00084802">
        <w:rPr>
          <w:rFonts w:ascii="Times New Roman" w:hAnsi="Times New Roman" w:cs="Times New Roman"/>
          <w:sz w:val="24"/>
          <w:szCs w:val="24"/>
        </w:rPr>
        <w:t>the presence of structural bias</w:t>
      </w:r>
      <w:r w:rsidRPr="005C36F5">
        <w:rPr>
          <w:rFonts w:ascii="Times New Roman" w:hAnsi="Times New Roman" w:cs="Times New Roman"/>
          <w:sz w:val="24"/>
          <w:szCs w:val="24"/>
        </w:rPr>
        <w:t>.</w:t>
      </w:r>
      <w:r w:rsidR="00084802">
        <w:rPr>
          <w:rFonts w:ascii="Times New Roman" w:hAnsi="Times New Roman" w:cs="Times New Roman"/>
          <w:sz w:val="24"/>
          <w:szCs w:val="24"/>
        </w:rPr>
        <w:t xml:space="preserve"> </w:t>
      </w:r>
      <w:r w:rsidRPr="005C36F5">
        <w:rPr>
          <w:rFonts w:ascii="Times New Roman" w:hAnsi="Times New Roman" w:cs="Times New Roman"/>
          <w:sz w:val="24"/>
          <w:szCs w:val="24"/>
        </w:rPr>
        <w:t>Egger (2001) concentrated on econometric issues and, in its turn, looked for an unbiased estimator for the analysis of trade volumes. In spite of all the discussed shortcomings and weaknesses of the model, researches around the world use</w:t>
      </w:r>
      <w:r w:rsidR="00270DB4" w:rsidRPr="005C36F5">
        <w:rPr>
          <w:rFonts w:ascii="Times New Roman" w:hAnsi="Times New Roman" w:cs="Times New Roman"/>
          <w:sz w:val="24"/>
          <w:szCs w:val="24"/>
        </w:rPr>
        <w:t>d the model</w:t>
      </w:r>
      <w:r w:rsidRPr="005C36F5">
        <w:rPr>
          <w:rFonts w:ascii="Times New Roman" w:hAnsi="Times New Roman" w:cs="Times New Roman"/>
          <w:sz w:val="24"/>
          <w:szCs w:val="24"/>
        </w:rPr>
        <w:t xml:space="preserve"> to evaluate trade patterns. Maryanchyk (2005) applied the gravity theory of trade to estimate two specifications of the model for Ukraine. To investigate bilateral trade flows of Poland with 181 trade partners, Brodzicki (2009) employed the gravity model of trade. Similarly; Shepotylo (2009) estimated trade potential of countries incorporating disaggregated data, zero trade flows and heterogeneity of firms at the industry level. After the remarkable use of gravity model for trade flows, the same modeling tools were applied to other types of flows and interactions. Head et al. (2009) adapted the Eaton and Kortum (2002) model to the case of service </w:t>
      </w:r>
      <w:r w:rsidR="00270DB4" w:rsidRPr="005C36F5">
        <w:rPr>
          <w:rFonts w:ascii="Times New Roman" w:hAnsi="Times New Roman" w:cs="Times New Roman"/>
          <w:sz w:val="24"/>
          <w:szCs w:val="24"/>
        </w:rPr>
        <w:t>off shoring</w:t>
      </w:r>
      <w:r w:rsidRPr="005C36F5">
        <w:rPr>
          <w:rFonts w:ascii="Times New Roman" w:hAnsi="Times New Roman" w:cs="Times New Roman"/>
          <w:sz w:val="24"/>
          <w:szCs w:val="24"/>
        </w:rPr>
        <w:t xml:space="preserve">. Anderson (2011) presented a migration gravity model drawing on discrete choice techniques. Ahlfeldt et al. (2012) drew on Eaton and Kortum (2002) to specify a commuting gravity model. Portes et al. (2001) and Portes and Rey (2005) established that gravity equations can explain cross border portfolio investment patterns. Okawa and van Wincoop (2012) suggested an alternative foundation for gravity in international finance. Gravity equations </w:t>
      </w:r>
      <w:r w:rsidRPr="005C36F5">
        <w:rPr>
          <w:rFonts w:ascii="Times New Roman" w:hAnsi="Times New Roman" w:cs="Times New Roman"/>
          <w:sz w:val="24"/>
          <w:szCs w:val="24"/>
        </w:rPr>
        <w:lastRenderedPageBreak/>
        <w:t>have also been shown to do a good job fitting stocks of foreign direct investment (FDI) as by Head and Ries (2008). De Sousa and Lochard (2011) extended the model to greenfield investment. In crux, the development of micro foundation of Gravity model has established that model can be applied to a range of trade as well as other bilateral flows and interactions with precision.</w:t>
      </w:r>
    </w:p>
    <w:p w:rsidR="009747BB" w:rsidRPr="005C36F5" w:rsidRDefault="009747BB" w:rsidP="00EA6A09">
      <w:pPr>
        <w:autoSpaceDE w:val="0"/>
        <w:autoSpaceDN w:val="0"/>
        <w:adjustRightInd w:val="0"/>
        <w:spacing w:after="0" w:line="240" w:lineRule="auto"/>
        <w:ind w:left="1440"/>
        <w:jc w:val="both"/>
        <w:rPr>
          <w:rFonts w:ascii="Times New Roman" w:hAnsi="Times New Roman" w:cs="Times New Roman"/>
          <w:sz w:val="24"/>
          <w:szCs w:val="24"/>
        </w:rPr>
      </w:pPr>
    </w:p>
    <w:p w:rsidR="00C36189" w:rsidRDefault="00BE3D26" w:rsidP="00EA6A09">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Hence it can be concluded that gravity model is the best approach to estimate the bilateral flows between countries. These flows estimate the elasticity of bilateral potentials between countries directly proportional to their “masses” and inversely proportional to the “distance” between them.</w:t>
      </w:r>
    </w:p>
    <w:p w:rsidR="009747BB" w:rsidRPr="005C36F5" w:rsidRDefault="009747BB" w:rsidP="00EA6A09">
      <w:pPr>
        <w:autoSpaceDE w:val="0"/>
        <w:autoSpaceDN w:val="0"/>
        <w:adjustRightInd w:val="0"/>
        <w:spacing w:after="0" w:line="240" w:lineRule="auto"/>
        <w:ind w:left="1440"/>
        <w:jc w:val="both"/>
        <w:rPr>
          <w:rFonts w:ascii="Times New Roman" w:hAnsi="Times New Roman" w:cs="Times New Roman"/>
          <w:sz w:val="24"/>
          <w:szCs w:val="24"/>
        </w:rPr>
      </w:pPr>
    </w:p>
    <w:p w:rsidR="00C04E7D" w:rsidRDefault="00BE3D26" w:rsidP="00EA6A09">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This study has employed the combination of gravity model and Data Envelopment Analysis (</w:t>
      </w:r>
      <w:r w:rsidR="00C9628D" w:rsidRPr="005C36F5">
        <w:rPr>
          <w:rFonts w:ascii="Times New Roman" w:hAnsi="Times New Roman" w:cs="Times New Roman"/>
          <w:sz w:val="24"/>
          <w:szCs w:val="24"/>
        </w:rPr>
        <w:t>DEA) to estimate the trade potentials</w:t>
      </w:r>
      <w:r w:rsidRPr="005C36F5">
        <w:rPr>
          <w:rFonts w:ascii="Times New Roman" w:hAnsi="Times New Roman" w:cs="Times New Roman"/>
          <w:sz w:val="24"/>
          <w:szCs w:val="24"/>
        </w:rPr>
        <w:t xml:space="preserve"> between Pakistan and its trade partners and to rank the countries in reference to their trade potential utilization with Pakistan. Gravity model equation is used to define the input and output variables for DEA application. DEA model is used to rank the countries based on the gravity model equation. The combination of both models apprehended the weakness of each other and a way forward for improved fall outs. The main objective of the study is to rank the trade partners of Pakistan, according to the maximum utilization (optimum) of their trade potentials, based on Gravity equation by applying the DEA model. </w:t>
      </w:r>
    </w:p>
    <w:p w:rsidR="009747BB" w:rsidRPr="005C36F5" w:rsidRDefault="009747BB" w:rsidP="00EA6A09">
      <w:pPr>
        <w:autoSpaceDE w:val="0"/>
        <w:autoSpaceDN w:val="0"/>
        <w:adjustRightInd w:val="0"/>
        <w:spacing w:after="0" w:line="240" w:lineRule="auto"/>
        <w:ind w:left="1440"/>
        <w:jc w:val="both"/>
        <w:rPr>
          <w:rFonts w:ascii="Times New Roman" w:hAnsi="Times New Roman" w:cs="Times New Roman"/>
          <w:sz w:val="24"/>
          <w:szCs w:val="24"/>
        </w:rPr>
      </w:pPr>
    </w:p>
    <w:p w:rsidR="00C36189" w:rsidRPr="005C36F5" w:rsidRDefault="009747BB" w:rsidP="00EA6A09">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r w:rsidRPr="005C36F5">
        <w:rPr>
          <w:rFonts w:ascii="Times New Roman" w:hAnsi="Times New Roman" w:cs="Times New Roman"/>
          <w:b/>
          <w:sz w:val="24"/>
          <w:szCs w:val="24"/>
        </w:rPr>
        <w:t>METHODOLOGY</w:t>
      </w:r>
    </w:p>
    <w:p w:rsidR="00C36189" w:rsidRDefault="00BE3D26" w:rsidP="00EA6A09">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Modeling and predicting foreign trade flows has long been an important task in international economics. One of the most fruitful ways to formalize the trade flows is gravity equation. The first key feature of trade data that mirrors the physical gravity equation is that exports rise proportionately with the </w:t>
      </w:r>
      <w:r w:rsidR="00C9628D" w:rsidRPr="005C36F5">
        <w:rPr>
          <w:rFonts w:ascii="Times New Roman" w:hAnsi="Times New Roman" w:cs="Times New Roman"/>
          <w:sz w:val="24"/>
          <w:szCs w:val="24"/>
        </w:rPr>
        <w:t>economic size of the importing partner</w:t>
      </w:r>
      <w:r w:rsidRPr="005C36F5">
        <w:rPr>
          <w:rFonts w:ascii="Times New Roman" w:hAnsi="Times New Roman" w:cs="Times New Roman"/>
          <w:sz w:val="24"/>
          <w:szCs w:val="24"/>
        </w:rPr>
        <w:t xml:space="preserve"> and imports rise in prop</w:t>
      </w:r>
      <w:r w:rsidR="00C9628D" w:rsidRPr="005C36F5">
        <w:rPr>
          <w:rFonts w:ascii="Times New Roman" w:hAnsi="Times New Roman" w:cs="Times New Roman"/>
          <w:sz w:val="24"/>
          <w:szCs w:val="24"/>
        </w:rPr>
        <w:t>ortion to the size of the home country.</w:t>
      </w:r>
      <w:r w:rsidRPr="005C36F5">
        <w:rPr>
          <w:rFonts w:ascii="Times New Roman" w:hAnsi="Times New Roman" w:cs="Times New Roman"/>
          <w:sz w:val="24"/>
          <w:szCs w:val="24"/>
        </w:rPr>
        <w:t xml:space="preserve"> The aggregated bilateral tra</w:t>
      </w:r>
      <w:r w:rsidR="00C9628D" w:rsidRPr="005C36F5">
        <w:rPr>
          <w:rFonts w:ascii="Times New Roman" w:hAnsi="Times New Roman" w:cs="Times New Roman"/>
          <w:sz w:val="24"/>
          <w:szCs w:val="24"/>
        </w:rPr>
        <w:t xml:space="preserve">de </w:t>
      </w:r>
      <w:r w:rsidRPr="005C36F5">
        <w:rPr>
          <w:rFonts w:ascii="Times New Roman" w:hAnsi="Times New Roman" w:cs="Times New Roman"/>
          <w:sz w:val="24"/>
          <w:szCs w:val="24"/>
        </w:rPr>
        <w:t>has been examined by gravity model for different data set since decades [Wang and winters (1991), Hamilton and Winter (1992), Baldwin (1994), Breuss and Egger (1999)] etc. Once the gravity equations are specified, they can be estimated using the different econ</w:t>
      </w:r>
      <w:r w:rsidR="00C9628D" w:rsidRPr="005C36F5">
        <w:rPr>
          <w:rFonts w:ascii="Times New Roman" w:hAnsi="Times New Roman" w:cs="Times New Roman"/>
          <w:sz w:val="24"/>
          <w:szCs w:val="24"/>
        </w:rPr>
        <w:t>ometric techniques</w:t>
      </w:r>
      <w:r w:rsidR="006D27C3" w:rsidRPr="005C36F5">
        <w:rPr>
          <w:rFonts w:ascii="Times New Roman" w:hAnsi="Times New Roman" w:cs="Times New Roman"/>
          <w:sz w:val="24"/>
          <w:szCs w:val="24"/>
        </w:rPr>
        <w:t>.</w:t>
      </w:r>
      <w:r w:rsidR="006D27C3" w:rsidRPr="005C36F5">
        <w:rPr>
          <w:rFonts w:ascii="Times New Roman" w:hAnsi="Times New Roman" w:cs="Times New Roman"/>
          <w:color w:val="FFFFFF" w:themeColor="background1"/>
          <w:sz w:val="24"/>
          <w:szCs w:val="24"/>
        </w:rPr>
        <w:t>”</w:t>
      </w:r>
      <w:r w:rsidRPr="005C36F5">
        <w:rPr>
          <w:rFonts w:ascii="Times New Roman" w:hAnsi="Times New Roman" w:cs="Times New Roman"/>
          <w:sz w:val="24"/>
          <w:szCs w:val="24"/>
        </w:rPr>
        <w:t xml:space="preserve"> </w:t>
      </w:r>
    </w:p>
    <w:p w:rsidR="00EA6A09" w:rsidRPr="005C36F5" w:rsidRDefault="00EA6A09" w:rsidP="00EA6A09">
      <w:pPr>
        <w:autoSpaceDE w:val="0"/>
        <w:autoSpaceDN w:val="0"/>
        <w:adjustRightInd w:val="0"/>
        <w:spacing w:after="0" w:line="240" w:lineRule="auto"/>
        <w:ind w:left="1440"/>
        <w:jc w:val="both"/>
        <w:rPr>
          <w:rFonts w:ascii="Times New Roman" w:hAnsi="Times New Roman" w:cs="Times New Roman"/>
          <w:sz w:val="24"/>
          <w:szCs w:val="24"/>
        </w:rPr>
      </w:pPr>
    </w:p>
    <w:p w:rsidR="009747BB"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The correct econometric representation of gravity model takes the form of a triple-indexed model.  Matyas (1997) argued that the proper specification of gravity model takes the following representation:</w:t>
      </w:r>
    </w:p>
    <w:p w:rsidR="00E924BB" w:rsidRDefault="00E924BB" w:rsidP="00EA6A09">
      <w:pPr>
        <w:spacing w:after="0" w:line="240" w:lineRule="auto"/>
        <w:ind w:left="1440"/>
        <w:jc w:val="both"/>
        <w:rPr>
          <w:rFonts w:ascii="Times New Roman" w:hAnsi="Times New Roman" w:cs="Times New Roman"/>
          <w:sz w:val="24"/>
          <w:szCs w:val="24"/>
        </w:rPr>
      </w:pPr>
    </w:p>
    <w:p w:rsidR="00B941CB" w:rsidRPr="005C36F5"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drawing>
          <wp:inline distT="0" distB="0" distL="0" distR="0">
            <wp:extent cx="2971800" cy="257175"/>
            <wp:effectExtent l="19050" t="0" r="0" b="0"/>
            <wp:docPr id="4" name="Picture 4" descr="C:\Users\acer\AppData\Local\Temp\ksohtml486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Temp\ksohtml4864\wps2.png"/>
                    <pic:cNvPicPr>
                      <a:picLocks noChangeAspect="1" noChangeArrowheads="1"/>
                    </pic:cNvPicPr>
                  </pic:nvPicPr>
                  <pic:blipFill>
                    <a:blip r:embed="rId15"/>
                    <a:srcRect/>
                    <a:stretch>
                      <a:fillRect/>
                    </a:stretch>
                  </pic:blipFill>
                  <pic:spPr bwMode="auto">
                    <a:xfrm>
                      <a:off x="0" y="0"/>
                      <a:ext cx="2971800" cy="257175"/>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w:t>
      </w:r>
      <w:r w:rsidR="00E924BB">
        <w:rPr>
          <w:rFonts w:ascii="Times New Roman" w:hAnsi="Times New Roman" w:cs="Times New Roman"/>
          <w:sz w:val="24"/>
          <w:szCs w:val="24"/>
        </w:rPr>
        <w:t xml:space="preserve">                 </w:t>
      </w:r>
      <w:r w:rsidRPr="005C36F5">
        <w:rPr>
          <w:rFonts w:ascii="Times New Roman" w:hAnsi="Times New Roman" w:cs="Times New Roman"/>
          <w:sz w:val="24"/>
          <w:szCs w:val="24"/>
        </w:rPr>
        <w:t>(1)</w:t>
      </w:r>
    </w:p>
    <w:p w:rsidR="00E924BB" w:rsidRDefault="00E924BB" w:rsidP="00EA6A09">
      <w:pPr>
        <w:spacing w:after="0" w:line="240" w:lineRule="auto"/>
        <w:ind w:left="1440"/>
        <w:jc w:val="both"/>
        <w:rPr>
          <w:rFonts w:ascii="Times New Roman" w:hAnsi="Times New Roman" w:cs="Times New Roman"/>
          <w:sz w:val="24"/>
          <w:szCs w:val="24"/>
        </w:rPr>
      </w:pPr>
    </w:p>
    <w:p w:rsidR="006D27C3" w:rsidRDefault="00B941CB" w:rsidP="00EA6A09">
      <w:pPr>
        <w:spacing w:after="0" w:line="240" w:lineRule="auto"/>
        <w:ind w:left="1440"/>
        <w:jc w:val="both"/>
        <w:rPr>
          <w:rFonts w:ascii="Times New Roman" w:hAnsi="Times New Roman" w:cs="Times New Roman"/>
          <w:color w:val="FFFFFF" w:themeColor="background1"/>
          <w:sz w:val="24"/>
          <w:szCs w:val="24"/>
        </w:rPr>
      </w:pPr>
      <w:r w:rsidRPr="005C36F5">
        <w:rPr>
          <w:rFonts w:ascii="Times New Roman" w:hAnsi="Times New Roman" w:cs="Times New Roman"/>
          <w:sz w:val="24"/>
          <w:szCs w:val="24"/>
        </w:rPr>
        <w:t xml:space="preserve">Where </w:t>
      </w:r>
      <w:r w:rsidRPr="005C36F5">
        <w:rPr>
          <w:rFonts w:ascii="Times New Roman" w:hAnsi="Times New Roman" w:cs="Times New Roman"/>
          <w:noProof/>
          <w:sz w:val="24"/>
          <w:szCs w:val="24"/>
        </w:rPr>
        <w:drawing>
          <wp:inline distT="0" distB="0" distL="0" distR="0">
            <wp:extent cx="381000" cy="247650"/>
            <wp:effectExtent l="0" t="0" r="0" b="0"/>
            <wp:docPr id="5" name="Picture 5" descr="C:\Users\acer\AppData\Local\Temp\ksohtml486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Temp\ksohtml4864\wps3.png"/>
                    <pic:cNvPicPr>
                      <a:picLocks noChangeAspect="1" noChangeArrowheads="1"/>
                    </pic:cNvPicPr>
                  </pic:nvPicPr>
                  <pic:blipFill>
                    <a:blip r:embed="rId16"/>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and</w:t>
      </w:r>
      <w:r w:rsidRPr="005C36F5">
        <w:rPr>
          <w:rFonts w:ascii="Times New Roman" w:hAnsi="Times New Roman" w:cs="Times New Roman"/>
          <w:noProof/>
          <w:sz w:val="24"/>
          <w:szCs w:val="24"/>
        </w:rPr>
        <w:drawing>
          <wp:inline distT="0" distB="0" distL="0" distR="0">
            <wp:extent cx="171450" cy="228600"/>
            <wp:effectExtent l="0" t="0" r="0" b="0"/>
            <wp:docPr id="6" name="Picture 6" descr="C:\Users\acer\AppData\Local\Temp\ksohtml486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AppData\Local\Temp\ksohtml4864\wps4.png"/>
                    <pic:cNvPicPr>
                      <a:picLocks noChangeAspect="1" noChangeArrowheads="1"/>
                    </pic:cNvPicPr>
                  </pic:nvPicPr>
                  <pic:blipFill>
                    <a:blip r:embed="rId1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are well- known specific effects attributed to the panel data modeling approach. If only cross section data are used, </w:t>
      </w:r>
      <w:r w:rsidRPr="005C36F5">
        <w:rPr>
          <w:rFonts w:ascii="Times New Roman" w:hAnsi="Times New Roman" w:cs="Times New Roman"/>
          <w:noProof/>
          <w:sz w:val="24"/>
          <w:szCs w:val="24"/>
        </w:rPr>
        <w:drawing>
          <wp:inline distT="0" distB="0" distL="0" distR="0">
            <wp:extent cx="419100" cy="228600"/>
            <wp:effectExtent l="0" t="0" r="0" b="0"/>
            <wp:docPr id="7" name="Picture 7" descr="C:\Users\acer\AppData\Local\Temp\ksohtml486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Temp\ksohtml4864\wps5.png"/>
                    <pic:cNvPicPr>
                      <a:picLocks noChangeAspect="1" noChangeArrowheads="1"/>
                    </pic:cNvPicPr>
                  </pic:nvPicPr>
                  <pic:blipFill>
                    <a:blip r:embed="rId18"/>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and when only time series data are used </w:t>
      </w:r>
      <w:r w:rsidR="006D27C3" w:rsidRPr="005C36F5">
        <w:rPr>
          <w:rFonts w:ascii="Times New Roman" w:hAnsi="Times New Roman" w:cs="Times New Roman"/>
          <w:sz w:val="24"/>
          <w:szCs w:val="24"/>
        </w:rPr>
        <w:t>then</w:t>
      </w:r>
      <w:r w:rsidRPr="005C36F5">
        <w:rPr>
          <w:rFonts w:ascii="Times New Roman" w:hAnsi="Times New Roman" w:cs="Times New Roman"/>
          <w:noProof/>
          <w:sz w:val="24"/>
          <w:szCs w:val="24"/>
        </w:rPr>
        <w:drawing>
          <wp:inline distT="0" distB="0" distL="0" distR="0">
            <wp:extent cx="638175" cy="247650"/>
            <wp:effectExtent l="0" t="0" r="9525" b="0"/>
            <wp:docPr id="8" name="Picture 8" descr="C:\Users\acer\AppData\Local\Temp\ksohtml486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AppData\Local\Temp\ksohtml4864\wps6.png"/>
                    <pic:cNvPicPr>
                      <a:picLocks noChangeAspect="1" noChangeArrowheads="1"/>
                    </pic:cNvPicPr>
                  </pic:nvPicPr>
                  <pic:blipFill>
                    <a:blip r:embed="rId19"/>
                    <a:srcRect/>
                    <a:stretch>
                      <a:fillRect/>
                    </a:stretch>
                  </pic:blipFill>
                  <pic:spPr bwMode="auto">
                    <a:xfrm>
                      <a:off x="0" y="0"/>
                      <a:ext cx="638175"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w:t>
      </w:r>
      <w:r w:rsidR="00B379B9" w:rsidRPr="005C36F5">
        <w:rPr>
          <w:rFonts w:ascii="Times New Roman" w:hAnsi="Times New Roman" w:cs="Times New Roman"/>
          <w:sz w:val="24"/>
          <w:szCs w:val="24"/>
        </w:rPr>
        <w:t>Finally,</w:t>
      </w:r>
      <w:r w:rsidRPr="005C36F5">
        <w:rPr>
          <w:rFonts w:ascii="Times New Roman" w:hAnsi="Times New Roman" w:cs="Times New Roman"/>
          <w:sz w:val="24"/>
          <w:szCs w:val="24"/>
        </w:rPr>
        <w:t xml:space="preserve"> when panel data are used, there are no restrictions. From an econometric point of view,</w:t>
      </w:r>
      <w:r w:rsidRPr="005C36F5">
        <w:rPr>
          <w:rFonts w:ascii="Times New Roman" w:hAnsi="Times New Roman" w:cs="Times New Roman"/>
          <w:noProof/>
          <w:sz w:val="24"/>
          <w:szCs w:val="24"/>
        </w:rPr>
        <w:drawing>
          <wp:inline distT="0" distB="0" distL="0" distR="0">
            <wp:extent cx="685800" cy="247650"/>
            <wp:effectExtent l="0" t="0" r="0" b="0"/>
            <wp:docPr id="9" name="Picture 9" descr="C:\Users\acer\AppData\Local\Temp\ksohtml486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AppData\Local\Temp\ksohtml4864\wps7.png"/>
                    <pic:cNvPicPr>
                      <a:picLocks noChangeAspect="1" noChangeArrowheads="1"/>
                    </pic:cNvPicPr>
                  </pic:nvPicPr>
                  <pic:blipFill>
                    <a:blip r:embed="rId20"/>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and </w:t>
      </w:r>
      <w:r w:rsidRPr="005C36F5">
        <w:rPr>
          <w:rFonts w:ascii="Times New Roman" w:hAnsi="Times New Roman" w:cs="Times New Roman"/>
          <w:noProof/>
          <w:sz w:val="24"/>
          <w:szCs w:val="24"/>
        </w:rPr>
        <w:drawing>
          <wp:inline distT="0" distB="0" distL="0" distR="0">
            <wp:extent cx="171450" cy="228600"/>
            <wp:effectExtent l="0" t="0" r="0" b="0"/>
            <wp:docPr id="10" name="Picture 10" descr="C:\Users\acer\AppData\Local\Temp\ksohtml486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AppData\Local\Temp\ksohtml4864\wps8.png"/>
                    <pic:cNvPicPr>
                      <a:picLocks noChangeAspect="1" noChangeArrowheads="1"/>
                    </pic:cNvPicPr>
                  </pic:nvPicPr>
                  <pic:blipFill>
                    <a:blip r:embed="rId1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specific effects can be treated as</w:t>
      </w:r>
      <w:r w:rsidR="00AA1EFF" w:rsidRPr="005C36F5">
        <w:rPr>
          <w:rFonts w:ascii="Times New Roman" w:hAnsi="Times New Roman" w:cs="Times New Roman"/>
          <w:sz w:val="24"/>
          <w:szCs w:val="24"/>
        </w:rPr>
        <w:t xml:space="preserve"> random variables.</w:t>
      </w:r>
      <w:r w:rsidR="006D27C3" w:rsidRPr="005C36F5">
        <w:rPr>
          <w:rFonts w:ascii="Times New Roman" w:hAnsi="Times New Roman" w:cs="Times New Roman"/>
          <w:sz w:val="24"/>
          <w:szCs w:val="24"/>
        </w:rPr>
        <w:t xml:space="preserve"> </w:t>
      </w:r>
      <w:r w:rsidRPr="005C36F5">
        <w:rPr>
          <w:rFonts w:ascii="Times New Roman" w:hAnsi="Times New Roman" w:cs="Times New Roman"/>
          <w:sz w:val="24"/>
          <w:szCs w:val="24"/>
        </w:rPr>
        <w:t xml:space="preserve">Model (1) should be viewed as the generic form of all gravity models and is a direct generalization. When </w:t>
      </w:r>
      <w:r w:rsidRPr="005C36F5">
        <w:rPr>
          <w:rFonts w:ascii="Times New Roman" w:hAnsi="Times New Roman" w:cs="Times New Roman"/>
          <w:sz w:val="24"/>
          <w:szCs w:val="24"/>
        </w:rPr>
        <w:lastRenderedPageBreak/>
        <w:t xml:space="preserve">cross-section data are used then T=1 and implicitly restriction </w:t>
      </w:r>
      <w:r w:rsidRPr="005C36F5">
        <w:rPr>
          <w:rFonts w:ascii="Times New Roman" w:hAnsi="Times New Roman" w:cs="Times New Roman"/>
          <w:noProof/>
          <w:sz w:val="24"/>
          <w:szCs w:val="24"/>
        </w:rPr>
        <w:drawing>
          <wp:inline distT="0" distB="0" distL="0" distR="0">
            <wp:extent cx="419100" cy="228600"/>
            <wp:effectExtent l="0" t="0" r="0" b="0"/>
            <wp:docPr id="11" name="Picture 11" descr="C:\Users\acer\AppData\Local\Temp\ksohtml4864\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AppData\Local\Temp\ksohtml4864\wps9.png"/>
                    <pic:cNvPicPr>
                      <a:picLocks noChangeAspect="1" noChangeArrowheads="1"/>
                    </pic:cNvPicPr>
                  </pic:nvPicPr>
                  <pic:blipFill>
                    <a:blip r:embed="rId18"/>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is imposed on the model [(e.g.; Aitken (1973), Bergstrand (1985), Brad (1994), Oguledo and Macphee (1994), and Frankel </w:t>
      </w:r>
      <w:r w:rsidRPr="005C36F5">
        <w:rPr>
          <w:rFonts w:ascii="Times New Roman" w:hAnsi="Times New Roman" w:cs="Times New Roman"/>
          <w:i/>
          <w:iCs/>
          <w:sz w:val="24"/>
          <w:szCs w:val="24"/>
        </w:rPr>
        <w:t>et al</w:t>
      </w:r>
      <w:r w:rsidRPr="005C36F5">
        <w:rPr>
          <w:rFonts w:ascii="Times New Roman" w:hAnsi="Times New Roman" w:cs="Times New Roman"/>
          <w:sz w:val="24"/>
          <w:szCs w:val="24"/>
        </w:rPr>
        <w:t>, (1995)].</w:t>
      </w:r>
      <w:r w:rsidR="006D27C3" w:rsidRPr="005C36F5">
        <w:rPr>
          <w:rFonts w:ascii="Times New Roman" w:hAnsi="Times New Roman" w:cs="Times New Roman"/>
          <w:color w:val="FFFFFF" w:themeColor="background1"/>
          <w:sz w:val="24"/>
          <w:szCs w:val="24"/>
        </w:rPr>
        <w:t>”</w:t>
      </w:r>
    </w:p>
    <w:p w:rsidR="009747BB" w:rsidRPr="005C36F5" w:rsidRDefault="009747BB" w:rsidP="00EA6A09">
      <w:pPr>
        <w:spacing w:after="0" w:line="240" w:lineRule="auto"/>
        <w:ind w:left="1440"/>
        <w:jc w:val="both"/>
        <w:rPr>
          <w:rFonts w:ascii="Times New Roman" w:hAnsi="Times New Roman" w:cs="Times New Roman"/>
          <w:sz w:val="24"/>
          <w:szCs w:val="24"/>
        </w:rPr>
      </w:pPr>
    </w:p>
    <w:p w:rsidR="00B941CB"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The generalized gravity model of trade states that the volume of trade / exports / imports</w:t>
      </w:r>
      <w:r w:rsidR="007E4973" w:rsidRPr="005C36F5">
        <w:rPr>
          <w:rFonts w:ascii="Times New Roman" w:hAnsi="Times New Roman" w:cs="Times New Roman"/>
          <w:sz w:val="24"/>
          <w:szCs w:val="24"/>
        </w:rPr>
        <w:t xml:space="preserve"> </w:t>
      </w:r>
      <w:r w:rsidRPr="005C36F5">
        <w:rPr>
          <w:rFonts w:ascii="Times New Roman" w:hAnsi="Times New Roman" w:cs="Times New Roman"/>
          <w:sz w:val="24"/>
          <w:szCs w:val="24"/>
        </w:rPr>
        <w:t>between pairs of countries,</w:t>
      </w:r>
      <w:r w:rsidRPr="005C36F5">
        <w:rPr>
          <w:rFonts w:ascii="Times New Roman" w:hAnsi="Times New Roman" w:cs="Times New Roman"/>
          <w:noProof/>
          <w:sz w:val="24"/>
          <w:szCs w:val="24"/>
        </w:rPr>
        <w:drawing>
          <wp:inline distT="0" distB="0" distL="0" distR="0">
            <wp:extent cx="180975" cy="247650"/>
            <wp:effectExtent l="19050" t="0" r="9525" b="0"/>
            <wp:docPr id="12" name="Picture 12" descr="C:\Users\acer\AppData\Local\Temp\ksohtml4864\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AppData\Local\Temp\ksohtml4864\wps10.png"/>
                    <pic:cNvPicPr>
                      <a:picLocks noChangeAspect="1" noChangeArrowheads="1"/>
                    </pic:cNvPicPr>
                  </pic:nvPicPr>
                  <pic:blipFill>
                    <a:blip r:embed="rId21"/>
                    <a:srcRect/>
                    <a:stretch>
                      <a:fillRect/>
                    </a:stretch>
                  </pic:blipFill>
                  <pic:spPr bwMode="auto">
                    <a:xfrm>
                      <a:off x="0" y="0"/>
                      <a:ext cx="180975"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is a function of their incomes (GNPs or GDPs), their</w:t>
      </w:r>
      <w:r w:rsidR="007E4973" w:rsidRPr="005C36F5">
        <w:rPr>
          <w:rFonts w:ascii="Times New Roman" w:hAnsi="Times New Roman" w:cs="Times New Roman"/>
          <w:sz w:val="24"/>
          <w:szCs w:val="24"/>
        </w:rPr>
        <w:t xml:space="preserve"> </w:t>
      </w:r>
      <w:r w:rsidRPr="005C36F5">
        <w:rPr>
          <w:rFonts w:ascii="Times New Roman" w:hAnsi="Times New Roman" w:cs="Times New Roman"/>
          <w:sz w:val="24"/>
          <w:szCs w:val="24"/>
        </w:rPr>
        <w:t>populations, their distance (proxy of transportation costs) and a set of dummy variables</w:t>
      </w:r>
      <w:r w:rsidR="007E4973" w:rsidRPr="005C36F5">
        <w:rPr>
          <w:rFonts w:ascii="Times New Roman" w:hAnsi="Times New Roman" w:cs="Times New Roman"/>
          <w:sz w:val="24"/>
          <w:szCs w:val="24"/>
        </w:rPr>
        <w:t xml:space="preserve"> </w:t>
      </w:r>
      <w:r w:rsidRPr="005C36F5">
        <w:rPr>
          <w:rFonts w:ascii="Times New Roman" w:hAnsi="Times New Roman" w:cs="Times New Roman"/>
          <w:sz w:val="24"/>
          <w:szCs w:val="24"/>
        </w:rPr>
        <w:t>either facilitating or restricting trade between pairs of countries. That is,</w:t>
      </w:r>
    </w:p>
    <w:p w:rsidR="00E924BB" w:rsidRPr="005C36F5" w:rsidRDefault="00E924BB" w:rsidP="00EA6A09">
      <w:pPr>
        <w:spacing w:after="0" w:line="240" w:lineRule="auto"/>
        <w:ind w:left="1440"/>
        <w:jc w:val="both"/>
        <w:rPr>
          <w:rFonts w:ascii="Times New Roman" w:hAnsi="Times New Roman" w:cs="Times New Roman"/>
          <w:sz w:val="24"/>
          <w:szCs w:val="24"/>
        </w:rPr>
      </w:pPr>
    </w:p>
    <w:p w:rsidR="00B941CB" w:rsidRPr="005C36F5"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drawing>
          <wp:inline distT="0" distB="0" distL="0" distR="0">
            <wp:extent cx="2324100" cy="266700"/>
            <wp:effectExtent l="19050" t="0" r="0" b="0"/>
            <wp:docPr id="14" name="Picture 14" descr="C:\Users\acer\AppData\Local\Temp\ksohtml4864\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cer\AppData\Local\Temp\ksohtml4864\wps12.png"/>
                    <pic:cNvPicPr>
                      <a:picLocks noChangeAspect="1" noChangeArrowheads="1"/>
                    </pic:cNvPicPr>
                  </pic:nvPicPr>
                  <pic:blipFill>
                    <a:blip r:embed="rId22"/>
                    <a:srcRect/>
                    <a:stretch>
                      <a:fillRect/>
                    </a:stretch>
                  </pic:blipFill>
                  <pic:spPr bwMode="auto">
                    <a:xfrm>
                      <a:off x="0" y="0"/>
                      <a:ext cx="2324100" cy="26670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(2)</w:t>
      </w:r>
    </w:p>
    <w:p w:rsidR="00E924BB" w:rsidRDefault="00E924BB" w:rsidP="00EA6A09">
      <w:pPr>
        <w:spacing w:after="0" w:line="240" w:lineRule="auto"/>
        <w:ind w:left="1440"/>
        <w:jc w:val="both"/>
        <w:rPr>
          <w:rFonts w:ascii="Times New Roman" w:hAnsi="Times New Roman" w:cs="Times New Roman"/>
          <w:sz w:val="24"/>
          <w:szCs w:val="24"/>
        </w:rPr>
      </w:pPr>
    </w:p>
    <w:p w:rsidR="00B941CB" w:rsidRDefault="00B941CB" w:rsidP="00EA6A09">
      <w:pPr>
        <w:spacing w:after="0" w:line="240" w:lineRule="auto"/>
        <w:ind w:left="1440"/>
        <w:jc w:val="both"/>
        <w:rPr>
          <w:rFonts w:ascii="Times New Roman" w:hAnsi="Times New Roman" w:cs="Times New Roman"/>
          <w:color w:val="FFFFFF" w:themeColor="background1"/>
          <w:sz w:val="24"/>
          <w:szCs w:val="24"/>
        </w:rPr>
      </w:pPr>
      <w:r w:rsidRPr="005C36F5">
        <w:rPr>
          <w:rFonts w:ascii="Times New Roman" w:hAnsi="Times New Roman" w:cs="Times New Roman"/>
          <w:sz w:val="24"/>
          <w:szCs w:val="24"/>
        </w:rPr>
        <w:t xml:space="preserve">Where </w:t>
      </w:r>
      <w:r w:rsidRPr="005C36F5">
        <w:rPr>
          <w:rFonts w:ascii="Times New Roman" w:hAnsi="Times New Roman" w:cs="Times New Roman"/>
          <w:noProof/>
          <w:sz w:val="24"/>
          <w:szCs w:val="24"/>
        </w:rPr>
        <w:drawing>
          <wp:inline distT="0" distB="0" distL="0" distR="0">
            <wp:extent cx="419100" cy="247650"/>
            <wp:effectExtent l="19050" t="0" r="0" b="0"/>
            <wp:docPr id="15" name="Picture 15" descr="C:\Users\acer\AppData\Local\Temp\ksohtml4864\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AppData\Local\Temp\ksohtml4864\wps13.png"/>
                    <pic:cNvPicPr>
                      <a:picLocks noChangeAspect="1" noChangeArrowheads="1"/>
                    </pic:cNvPicPr>
                  </pic:nvPicPr>
                  <pic:blipFill>
                    <a:blip r:embed="rId23"/>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indicates the GDP or GNP of the country ‘</w:t>
      </w:r>
      <w:r w:rsidRPr="005C36F5">
        <w:rPr>
          <w:rFonts w:ascii="Times New Roman" w:hAnsi="Times New Roman" w:cs="Times New Roman"/>
          <w:noProof/>
          <w:sz w:val="24"/>
          <w:szCs w:val="24"/>
        </w:rPr>
        <w:drawing>
          <wp:inline distT="0" distB="0" distL="0" distR="0">
            <wp:extent cx="95250" cy="171450"/>
            <wp:effectExtent l="19050" t="0" r="0" b="0"/>
            <wp:docPr id="16" name="Picture 16" descr="C:\Users\acer\AppData\Local\Temp\ksohtml4864\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er\AppData\Local\Temp\ksohtml4864\wps14.png"/>
                    <pic:cNvPicPr>
                      <a:picLocks noChangeAspect="1" noChangeArrowheads="1"/>
                    </pic:cNvPicPr>
                  </pic:nvPicPr>
                  <pic:blipFill>
                    <a:blip r:embed="rId24"/>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and ‘</w:t>
      </w:r>
      <w:r w:rsidRPr="005C36F5">
        <w:rPr>
          <w:rFonts w:ascii="Times New Roman" w:hAnsi="Times New Roman" w:cs="Times New Roman"/>
          <w:noProof/>
          <w:sz w:val="24"/>
          <w:szCs w:val="24"/>
        </w:rPr>
        <w:drawing>
          <wp:inline distT="0" distB="0" distL="0" distR="0">
            <wp:extent cx="133350" cy="190500"/>
            <wp:effectExtent l="19050" t="0" r="0" b="0"/>
            <wp:docPr id="17" name="Picture 17" descr="C:\Users\acer\AppData\Local\Temp\ksohtml4864\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cer\AppData\Local\Temp\ksohtml4864\wps15.png"/>
                    <pic:cNvPicPr>
                      <a:picLocks noChangeAspect="1" noChangeArrowheads="1"/>
                    </pic:cNvPicPr>
                  </pic:nvPicPr>
                  <pic:blipFill>
                    <a:blip r:embed="rId25"/>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w:t>
      </w:r>
      <w:r w:rsidRPr="005C36F5">
        <w:rPr>
          <w:rFonts w:ascii="Times New Roman" w:hAnsi="Times New Roman" w:cs="Times New Roman"/>
          <w:noProof/>
          <w:sz w:val="24"/>
          <w:szCs w:val="24"/>
        </w:rPr>
        <w:drawing>
          <wp:inline distT="0" distB="0" distL="0" distR="0">
            <wp:extent cx="523875" cy="247650"/>
            <wp:effectExtent l="19050" t="0" r="0" b="0"/>
            <wp:docPr id="18" name="Picture 18" descr="C:\Users\acer\AppData\Local\Temp\ksohtml4864\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cer\AppData\Local\Temp\ksohtml4864\wps16.png"/>
                    <pic:cNvPicPr>
                      <a:picLocks noChangeAspect="1" noChangeArrowheads="1"/>
                    </pic:cNvPicPr>
                  </pic:nvPicPr>
                  <pic:blipFill>
                    <a:blip r:embed="rId26"/>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are populations of the country ‘</w:t>
      </w:r>
      <w:r w:rsidRPr="005C36F5">
        <w:rPr>
          <w:rFonts w:ascii="Times New Roman" w:hAnsi="Times New Roman" w:cs="Times New Roman"/>
          <w:noProof/>
          <w:sz w:val="24"/>
          <w:szCs w:val="24"/>
        </w:rPr>
        <w:drawing>
          <wp:inline distT="0" distB="0" distL="0" distR="0">
            <wp:extent cx="95250" cy="171450"/>
            <wp:effectExtent l="19050" t="0" r="0" b="0"/>
            <wp:docPr id="19" name="Picture 19" descr="C:\Users\acer\AppData\Local\Temp\ksohtml4864\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cer\AppData\Local\Temp\ksohtml4864\wps17.png"/>
                    <pic:cNvPicPr>
                      <a:picLocks noChangeAspect="1" noChangeArrowheads="1"/>
                    </pic:cNvPicPr>
                  </pic:nvPicPr>
                  <pic:blipFill>
                    <a:blip r:embed="rId24"/>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’and ‘</w:t>
      </w:r>
      <w:r w:rsidRPr="005C36F5">
        <w:rPr>
          <w:rFonts w:ascii="Times New Roman" w:hAnsi="Times New Roman" w:cs="Times New Roman"/>
          <w:noProof/>
          <w:sz w:val="24"/>
          <w:szCs w:val="24"/>
        </w:rPr>
        <w:drawing>
          <wp:inline distT="0" distB="0" distL="0" distR="0">
            <wp:extent cx="133350" cy="190500"/>
            <wp:effectExtent l="19050" t="0" r="0" b="0"/>
            <wp:docPr id="20" name="Picture 20" descr="C:\Users\acer\AppData\Local\Temp\ksohtml4864\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cer\AppData\Local\Temp\ksohtml4864\wps18.png"/>
                    <pic:cNvPicPr>
                      <a:picLocks noChangeAspect="1" noChangeArrowheads="1"/>
                    </pic:cNvPicPr>
                  </pic:nvPicPr>
                  <pic:blipFill>
                    <a:blip r:embed="rId25"/>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w:t>
      </w:r>
      <w:r w:rsidRPr="005C36F5">
        <w:rPr>
          <w:rFonts w:ascii="Times New Roman" w:hAnsi="Times New Roman" w:cs="Times New Roman"/>
          <w:noProof/>
          <w:sz w:val="24"/>
          <w:szCs w:val="24"/>
        </w:rPr>
        <w:drawing>
          <wp:inline distT="0" distB="0" distL="0" distR="0">
            <wp:extent cx="219075" cy="247650"/>
            <wp:effectExtent l="0" t="0" r="9525" b="0"/>
            <wp:docPr id="21" name="Picture 21" descr="C:\Users\acer\AppData\Local\Temp\ksohtml4864\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cer\AppData\Local\Temp\ksohtml4864\wps19.png"/>
                    <pic:cNvPicPr>
                      <a:picLocks noChangeAspect="1" noChangeArrowheads="1"/>
                    </pic:cNvPicPr>
                  </pic:nvPicPr>
                  <pic:blipFill>
                    <a:blip r:embed="rId27"/>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measures the distance between the two countries’ capitals (or economic centeres.) </w:t>
      </w:r>
      <w:r w:rsidRPr="005C36F5">
        <w:rPr>
          <w:rFonts w:ascii="Times New Roman" w:hAnsi="Times New Roman" w:cs="Times New Roman"/>
          <w:noProof/>
          <w:sz w:val="24"/>
          <w:szCs w:val="24"/>
        </w:rPr>
        <w:drawing>
          <wp:inline distT="0" distB="0" distL="0" distR="0">
            <wp:extent cx="209550" cy="247650"/>
            <wp:effectExtent l="0" t="0" r="0" b="0"/>
            <wp:docPr id="22" name="Picture 22" descr="C:\Users\acer\AppData\Local\Temp\ksohtml4864\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cer\AppData\Local\Temp\ksohtml4864\wps20.png"/>
                    <pic:cNvPicPr>
                      <a:picLocks noChangeAspect="1" noChangeArrowheads="1"/>
                    </pic:cNvPicPr>
                  </pic:nvPicPr>
                  <pic:blipFill>
                    <a:blip r:embed="rId28"/>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represents dummy variables, </w:t>
      </w:r>
      <w:r w:rsidRPr="005C36F5">
        <w:rPr>
          <w:rFonts w:ascii="Times New Roman" w:hAnsi="Times New Roman" w:cs="Times New Roman"/>
          <w:noProof/>
          <w:sz w:val="24"/>
          <w:szCs w:val="24"/>
        </w:rPr>
        <w:drawing>
          <wp:inline distT="0" distB="0" distL="0" distR="0">
            <wp:extent cx="219075" cy="247650"/>
            <wp:effectExtent l="19050" t="0" r="0" b="0"/>
            <wp:docPr id="23" name="Picture 23" descr="C:\Users\acer\AppData\Local\Temp\ksohtml4864\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cer\AppData\Local\Temp\ksohtml4864\wps21.png"/>
                    <pic:cNvPicPr>
                      <a:picLocks noChangeAspect="1" noChangeArrowheads="1"/>
                    </pic:cNvPicPr>
                  </pic:nvPicPr>
                  <pic:blipFill>
                    <a:blip r:embed="rId29"/>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is the error term and</w:t>
      </w:r>
      <w:r w:rsidRPr="005C36F5">
        <w:rPr>
          <w:rFonts w:ascii="Times New Roman" w:hAnsi="Times New Roman" w:cs="Times New Roman"/>
          <w:noProof/>
          <w:sz w:val="24"/>
          <w:szCs w:val="24"/>
        </w:rPr>
        <w:drawing>
          <wp:inline distT="0" distB="0" distL="0" distR="0">
            <wp:extent cx="152400" cy="209550"/>
            <wp:effectExtent l="19050" t="0" r="0" b="0"/>
            <wp:docPr id="24" name="Picture 24" descr="C:\Users\acer\AppData\Local\Temp\ksohtml4864\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cer\AppData\Local\Temp\ksohtml4864\wps22.png"/>
                    <pic:cNvPicPr>
                      <a:picLocks noChangeAspect="1" noChangeArrowheads="1"/>
                    </pic:cNvPicPr>
                  </pic:nvPicPr>
                  <pic:blipFill>
                    <a:blip r:embed="rId30"/>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’s  are parameters of the model. ‘i’ is used for home country and ‘j’ for target country.  Using per capita income instead of population, an alternative formulation of equation (2) can be written as</w:t>
      </w:r>
      <w:r w:rsidR="006D27C3" w:rsidRPr="005C36F5">
        <w:rPr>
          <w:rFonts w:ascii="Times New Roman" w:hAnsi="Times New Roman" w:cs="Times New Roman"/>
          <w:color w:val="FFFFFF" w:themeColor="background1"/>
          <w:sz w:val="24"/>
          <w:szCs w:val="24"/>
        </w:rPr>
        <w:t>”</w:t>
      </w:r>
    </w:p>
    <w:p w:rsidR="00E924BB" w:rsidRPr="005C36F5" w:rsidRDefault="00E924BB" w:rsidP="00EA6A09">
      <w:pPr>
        <w:spacing w:after="0" w:line="240" w:lineRule="auto"/>
        <w:ind w:left="1440"/>
        <w:jc w:val="both"/>
        <w:rPr>
          <w:rFonts w:ascii="Times New Roman" w:hAnsi="Times New Roman" w:cs="Times New Roman"/>
          <w:sz w:val="24"/>
          <w:szCs w:val="24"/>
        </w:rPr>
      </w:pPr>
    </w:p>
    <w:p w:rsidR="00B941CB"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drawing>
          <wp:inline distT="0" distB="0" distL="0" distR="0">
            <wp:extent cx="2381250" cy="266700"/>
            <wp:effectExtent l="19050" t="0" r="0" b="0"/>
            <wp:docPr id="26" name="Picture 26" descr="C:\Users\acer\AppData\Local\Temp\ksohtml4864\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cer\AppData\Local\Temp\ksohtml4864\wps24.png"/>
                    <pic:cNvPicPr>
                      <a:picLocks noChangeAspect="1" noChangeArrowheads="1"/>
                    </pic:cNvPicPr>
                  </pic:nvPicPr>
                  <pic:blipFill>
                    <a:blip r:embed="rId31"/>
                    <a:srcRect/>
                    <a:stretch>
                      <a:fillRect/>
                    </a:stretch>
                  </pic:blipFill>
                  <pic:spPr bwMode="auto">
                    <a:xfrm>
                      <a:off x="0" y="0"/>
                      <a:ext cx="2381250" cy="26670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w:t>
      </w:r>
      <w:r w:rsidR="00E924BB">
        <w:rPr>
          <w:rFonts w:ascii="Times New Roman" w:hAnsi="Times New Roman" w:cs="Times New Roman"/>
          <w:sz w:val="24"/>
          <w:szCs w:val="24"/>
        </w:rPr>
        <w:tab/>
      </w:r>
      <w:r w:rsidR="00E924BB">
        <w:rPr>
          <w:rFonts w:ascii="Times New Roman" w:hAnsi="Times New Roman" w:cs="Times New Roman"/>
          <w:sz w:val="24"/>
          <w:szCs w:val="24"/>
        </w:rPr>
        <w:tab/>
      </w:r>
      <w:r w:rsidRPr="005C36F5">
        <w:rPr>
          <w:rFonts w:ascii="Times New Roman" w:hAnsi="Times New Roman" w:cs="Times New Roman"/>
          <w:sz w:val="24"/>
          <w:szCs w:val="24"/>
        </w:rPr>
        <w:t xml:space="preserve">              (3)                                                                </w:t>
      </w:r>
    </w:p>
    <w:p w:rsidR="00E924BB" w:rsidRPr="005C36F5" w:rsidRDefault="00E924BB" w:rsidP="00EA6A09">
      <w:pPr>
        <w:spacing w:after="0" w:line="240" w:lineRule="auto"/>
        <w:ind w:left="1440"/>
        <w:jc w:val="both"/>
        <w:rPr>
          <w:rFonts w:ascii="Times New Roman" w:hAnsi="Times New Roman" w:cs="Times New Roman"/>
          <w:sz w:val="24"/>
          <w:szCs w:val="24"/>
        </w:rPr>
      </w:pPr>
    </w:p>
    <w:p w:rsidR="00E924BB" w:rsidRDefault="006D27C3" w:rsidP="00EA6A09">
      <w:pPr>
        <w:spacing w:after="0" w:line="240" w:lineRule="auto"/>
        <w:ind w:left="1440"/>
        <w:jc w:val="both"/>
        <w:rPr>
          <w:rFonts w:ascii="Times New Roman" w:hAnsi="Times New Roman" w:cs="Times New Roman"/>
          <w:noProof/>
          <w:sz w:val="24"/>
          <w:szCs w:val="24"/>
        </w:rPr>
      </w:pPr>
      <w:r w:rsidRPr="005C36F5">
        <w:rPr>
          <w:rFonts w:ascii="Times New Roman" w:hAnsi="Times New Roman" w:cs="Times New Roman"/>
          <w:color w:val="FFFFFF" w:themeColor="background1"/>
          <w:sz w:val="24"/>
          <w:szCs w:val="24"/>
        </w:rPr>
        <w:t>“</w:t>
      </w:r>
      <w:r w:rsidR="00B941CB" w:rsidRPr="005C36F5">
        <w:rPr>
          <w:rFonts w:ascii="Times New Roman" w:hAnsi="Times New Roman" w:cs="Times New Roman"/>
          <w:sz w:val="24"/>
          <w:szCs w:val="24"/>
        </w:rPr>
        <w:t xml:space="preserve">Where </w:t>
      </w:r>
      <w:r w:rsidR="00B941CB" w:rsidRPr="005C36F5">
        <w:rPr>
          <w:rFonts w:ascii="Times New Roman" w:hAnsi="Times New Roman" w:cs="Times New Roman"/>
          <w:noProof/>
          <w:sz w:val="24"/>
          <w:szCs w:val="24"/>
        </w:rPr>
        <w:drawing>
          <wp:inline distT="0" distB="0" distL="0" distR="0">
            <wp:extent cx="447675" cy="247650"/>
            <wp:effectExtent l="19050" t="0" r="0" b="0"/>
            <wp:docPr id="27" name="Picture 27" descr="C:\Users\acer\AppData\Local\Temp\ksohtml4864\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cer\AppData\Local\Temp\ksohtml4864\wps25.png"/>
                    <pic:cNvPicPr>
                      <a:picLocks noChangeAspect="1" noChangeArrowheads="1"/>
                    </pic:cNvPicPr>
                  </pic:nvPicPr>
                  <pic:blipFill>
                    <a:blip r:embed="rId32"/>
                    <a:srcRect/>
                    <a:stretch>
                      <a:fillRect/>
                    </a:stretch>
                  </pic:blipFill>
                  <pic:spPr bwMode="auto">
                    <a:xfrm>
                      <a:off x="0" y="0"/>
                      <a:ext cx="447675" cy="247650"/>
                    </a:xfrm>
                    <a:prstGeom prst="rect">
                      <a:avLst/>
                    </a:prstGeom>
                    <a:noFill/>
                    <a:ln w="9525">
                      <a:noFill/>
                      <a:miter lim="800000"/>
                      <a:headEnd/>
                      <a:tailEnd/>
                    </a:ln>
                  </pic:spPr>
                </pic:pic>
              </a:graphicData>
            </a:graphic>
          </wp:inline>
        </w:drawing>
      </w:r>
      <w:r w:rsidR="00B941CB" w:rsidRPr="005C36F5">
        <w:rPr>
          <w:rFonts w:ascii="Times New Roman" w:hAnsi="Times New Roman" w:cs="Times New Roman"/>
          <w:sz w:val="24"/>
          <w:szCs w:val="24"/>
        </w:rPr>
        <w:t xml:space="preserve"> are per capita incomes of country ‘</w:t>
      </w:r>
      <w:r w:rsidR="00B941CB" w:rsidRPr="005C36F5">
        <w:rPr>
          <w:rFonts w:ascii="Times New Roman" w:hAnsi="Times New Roman" w:cs="Times New Roman"/>
          <w:noProof/>
          <w:sz w:val="24"/>
          <w:szCs w:val="24"/>
        </w:rPr>
        <w:drawing>
          <wp:inline distT="0" distB="0" distL="0" distR="0">
            <wp:extent cx="95250" cy="171450"/>
            <wp:effectExtent l="19050" t="0" r="0" b="0"/>
            <wp:docPr id="28" name="Picture 28" descr="C:\Users\acer\AppData\Local\Temp\ksohtml4864\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cer\AppData\Local\Temp\ksohtml4864\wps26.png"/>
                    <pic:cNvPicPr>
                      <a:picLocks noChangeAspect="1" noChangeArrowheads="1"/>
                    </pic:cNvPicPr>
                  </pic:nvPicPr>
                  <pic:blipFill>
                    <a:blip r:embed="rId24"/>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00B941CB" w:rsidRPr="005C36F5">
        <w:rPr>
          <w:rFonts w:ascii="Times New Roman" w:hAnsi="Times New Roman" w:cs="Times New Roman"/>
          <w:sz w:val="24"/>
          <w:szCs w:val="24"/>
        </w:rPr>
        <w:t>’ and ‘j’. As the gravity model is originally formulated in multiplicative form, we can linearize the model by taking the natural logarithm of all variables.  The log form of general gravity model is as follow.</w:t>
      </w:r>
    </w:p>
    <w:p w:rsidR="00B941CB" w:rsidRPr="005C36F5"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 </w:t>
      </w:r>
    </w:p>
    <w:p w:rsidR="00B941CB" w:rsidRPr="005C36F5" w:rsidRDefault="00B941CB" w:rsidP="00E924BB">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drawing>
          <wp:inline distT="0" distB="0" distL="0" distR="0">
            <wp:extent cx="4762500" cy="438150"/>
            <wp:effectExtent l="19050" t="0" r="0" b="0"/>
            <wp:docPr id="30" name="Picture 30" descr="C:\Users\acer\AppData\Local\Temp\ksohtml4864\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cer\AppData\Local\Temp\ksohtml4864\wps28.png"/>
                    <pic:cNvPicPr>
                      <a:picLocks noChangeAspect="1" noChangeArrowheads="1"/>
                    </pic:cNvPicPr>
                  </pic:nvPicPr>
                  <pic:blipFill>
                    <a:blip r:embed="rId33"/>
                    <a:srcRect/>
                    <a:stretch>
                      <a:fillRect/>
                    </a:stretch>
                  </pic:blipFill>
                  <pic:spPr bwMode="auto">
                    <a:xfrm>
                      <a:off x="0" y="0"/>
                      <a:ext cx="4762500" cy="4381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(4)</w:t>
      </w:r>
    </w:p>
    <w:p w:rsidR="00E924BB" w:rsidRDefault="00E924BB" w:rsidP="00EA6A09">
      <w:pPr>
        <w:spacing w:after="0" w:line="240" w:lineRule="auto"/>
        <w:ind w:left="1440"/>
        <w:jc w:val="both"/>
        <w:rPr>
          <w:rFonts w:ascii="Times New Roman" w:hAnsi="Times New Roman" w:cs="Times New Roman"/>
          <w:sz w:val="24"/>
          <w:szCs w:val="24"/>
        </w:rPr>
      </w:pPr>
    </w:p>
    <w:p w:rsidR="00B941CB"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Where</w:t>
      </w:r>
    </w:p>
    <w:p w:rsidR="00E924BB" w:rsidRPr="005C36F5" w:rsidRDefault="00E924BB" w:rsidP="00EA6A09">
      <w:pPr>
        <w:spacing w:after="0" w:line="240" w:lineRule="auto"/>
        <w:ind w:left="1440"/>
        <w:jc w:val="both"/>
        <w:rPr>
          <w:rFonts w:ascii="Times New Roman" w:hAnsi="Times New Roman" w:cs="Times New Roman"/>
          <w:sz w:val="24"/>
          <w:szCs w:val="24"/>
        </w:rPr>
      </w:pPr>
    </w:p>
    <w:p w:rsidR="00B941CB" w:rsidRPr="005C36F5"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drawing>
          <wp:inline distT="0" distB="0" distL="0" distR="0">
            <wp:extent cx="676275" cy="247650"/>
            <wp:effectExtent l="19050" t="0" r="9525" b="0"/>
            <wp:docPr id="31" name="Picture 31" descr="C:\Users\acer\AppData\Local\Temp\ksohtml4864\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cer\AppData\Local\Temp\ksohtml4864\wps29.png"/>
                    <pic:cNvPicPr>
                      <a:picLocks noChangeAspect="1" noChangeArrowheads="1"/>
                    </pic:cNvPicPr>
                  </pic:nvPicPr>
                  <pic:blipFill>
                    <a:blip r:embed="rId34"/>
                    <a:srcRect/>
                    <a:stretch>
                      <a:fillRect/>
                    </a:stretch>
                  </pic:blipFill>
                  <pic:spPr bwMode="auto">
                    <a:xfrm>
                      <a:off x="0" y="0"/>
                      <a:ext cx="676275"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 </w:t>
      </w:r>
    </w:p>
    <w:p w:rsidR="00B941CB"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Where “ln” denotes natural logs. </w:t>
      </w:r>
      <w:r w:rsidRPr="005C36F5">
        <w:rPr>
          <w:rFonts w:ascii="Times New Roman" w:hAnsi="Times New Roman" w:cs="Times New Roman"/>
          <w:noProof/>
          <w:sz w:val="24"/>
          <w:szCs w:val="24"/>
        </w:rPr>
        <w:drawing>
          <wp:inline distT="0" distB="0" distL="0" distR="0">
            <wp:extent cx="209550" cy="247650"/>
            <wp:effectExtent l="0" t="0" r="0" b="0"/>
            <wp:docPr id="32" name="Picture 32" descr="C:\Users\acer\AppData\Local\Temp\ksohtml4864\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cer\AppData\Local\Temp\ksohtml4864\wps30.png"/>
                    <pic:cNvPicPr>
                      <a:picLocks noChangeAspect="1" noChangeArrowheads="1"/>
                    </pic:cNvPicPr>
                  </pic:nvPicPr>
                  <pic:blipFill>
                    <a:blip r:embed="rId28"/>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is the sum of (trade) dummy variables. Dummy variables take the value of one when a certain condition is satisfied and zero otherwise.</w:t>
      </w:r>
      <w:r w:rsidR="006D27C3" w:rsidRPr="005C36F5">
        <w:rPr>
          <w:rFonts w:ascii="Times New Roman" w:hAnsi="Times New Roman" w:cs="Times New Roman"/>
          <w:color w:val="FFFFFF" w:themeColor="background1"/>
          <w:sz w:val="24"/>
          <w:szCs w:val="24"/>
        </w:rPr>
        <w:t>”</w:t>
      </w:r>
      <w:r w:rsidRPr="005C36F5">
        <w:rPr>
          <w:rFonts w:ascii="Times New Roman" w:hAnsi="Times New Roman" w:cs="Times New Roman"/>
          <w:sz w:val="24"/>
          <w:szCs w:val="24"/>
        </w:rPr>
        <w:t xml:space="preserve"> </w:t>
      </w:r>
    </w:p>
    <w:p w:rsidR="00E924BB" w:rsidRPr="005C36F5" w:rsidRDefault="00E924BB" w:rsidP="00EA6A09">
      <w:pPr>
        <w:spacing w:after="0" w:line="240" w:lineRule="auto"/>
        <w:ind w:left="1440"/>
        <w:jc w:val="both"/>
        <w:rPr>
          <w:rFonts w:ascii="Times New Roman" w:hAnsi="Times New Roman" w:cs="Times New Roman"/>
          <w:sz w:val="24"/>
          <w:szCs w:val="24"/>
        </w:rPr>
      </w:pPr>
    </w:p>
    <w:p w:rsidR="00B941CB"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We use the following specifi</w:t>
      </w:r>
      <w:r w:rsidR="00AA1EFF" w:rsidRPr="005C36F5">
        <w:rPr>
          <w:rFonts w:ascii="Times New Roman" w:hAnsi="Times New Roman" w:cs="Times New Roman"/>
          <w:sz w:val="24"/>
          <w:szCs w:val="24"/>
        </w:rPr>
        <w:t>c variables in our study</w:t>
      </w:r>
      <w:r w:rsidRPr="005C36F5">
        <w:rPr>
          <w:rFonts w:ascii="Times New Roman" w:hAnsi="Times New Roman" w:cs="Times New Roman"/>
          <w:sz w:val="24"/>
          <w:szCs w:val="24"/>
        </w:rPr>
        <w:t>:</w:t>
      </w:r>
    </w:p>
    <w:p w:rsidR="00E924BB" w:rsidRPr="005C36F5" w:rsidRDefault="00E924BB" w:rsidP="00EA6A09">
      <w:pPr>
        <w:spacing w:after="0" w:line="240" w:lineRule="auto"/>
        <w:ind w:left="1440"/>
        <w:jc w:val="both"/>
        <w:rPr>
          <w:rFonts w:ascii="Times New Roman" w:hAnsi="Times New Roman" w:cs="Times New Roman"/>
          <w:sz w:val="24"/>
          <w:szCs w:val="24"/>
        </w:rPr>
      </w:pPr>
    </w:p>
    <w:p w:rsidR="00E924BB" w:rsidRPr="005C36F5" w:rsidRDefault="00B941CB" w:rsidP="00E924BB">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X= Total Exports</w:t>
      </w:r>
    </w:p>
    <w:p w:rsidR="00E924BB" w:rsidRPr="005C36F5" w:rsidRDefault="00B941CB" w:rsidP="00E924BB">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M= Total Imports</w:t>
      </w:r>
    </w:p>
    <w:p w:rsidR="00B941CB" w:rsidRPr="005C36F5"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drawing>
          <wp:inline distT="0" distB="0" distL="0" distR="0">
            <wp:extent cx="323850" cy="209550"/>
            <wp:effectExtent l="19050" t="0" r="0" b="0"/>
            <wp:docPr id="33" name="Picture 33" descr="C:\Users\acer\AppData\Local\Temp\ksohtml4864\wp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cer\AppData\Local\Temp\ksohtml4864\wps31.png"/>
                    <pic:cNvPicPr>
                      <a:picLocks noChangeAspect="1" noChangeArrowheads="1"/>
                    </pic:cNvPicPr>
                  </pic:nvPicPr>
                  <pic:blipFill>
                    <a:blip r:embed="rId35"/>
                    <a:srcRect/>
                    <a:stretch>
                      <a:fillRect/>
                    </a:stretch>
                  </pic:blipFill>
                  <pic:spPr bwMode="auto">
                    <a:xfrm>
                      <a:off x="0" y="0"/>
                      <a:ext cx="323850" cy="2095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xml:space="preserve">GDP </w:t>
      </w:r>
      <w:r w:rsidR="004C5C13" w:rsidRPr="005C36F5">
        <w:rPr>
          <w:rFonts w:ascii="Times New Roman" w:hAnsi="Times New Roman" w:cs="Times New Roman"/>
          <w:sz w:val="24"/>
          <w:szCs w:val="24"/>
        </w:rPr>
        <w:t>of foreign</w:t>
      </w:r>
      <w:r w:rsidRPr="005C36F5">
        <w:rPr>
          <w:rFonts w:ascii="Times New Roman" w:hAnsi="Times New Roman" w:cs="Times New Roman"/>
          <w:sz w:val="24"/>
          <w:szCs w:val="24"/>
        </w:rPr>
        <w:t xml:space="preserve"> country</w:t>
      </w:r>
    </w:p>
    <w:p w:rsidR="00B941CB" w:rsidRPr="005C36F5"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lastRenderedPageBreak/>
        <w:drawing>
          <wp:inline distT="0" distB="0" distL="0" distR="0">
            <wp:extent cx="190500" cy="247650"/>
            <wp:effectExtent l="0" t="0" r="0" b="0"/>
            <wp:docPr id="34" name="Picture 34" descr="C:\Users\acer\AppData\Local\Temp\ksohtml4864\wp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cer\AppData\Local\Temp\ksohtml4864\wps32.png"/>
                    <pic:cNvPicPr>
                      <a:picLocks noChangeAspect="1" noChangeArrowheads="1"/>
                    </pic:cNvPicPr>
                  </pic:nvPicPr>
                  <pic:blipFill>
                    <a:blip r:embed="rId36"/>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=Population of foreign country</w:t>
      </w:r>
    </w:p>
    <w:p w:rsidR="00B941CB" w:rsidRPr="005C36F5"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drawing>
          <wp:inline distT="0" distB="0" distL="0" distR="0">
            <wp:extent cx="228600" cy="209550"/>
            <wp:effectExtent l="0" t="0" r="0" b="0"/>
            <wp:docPr id="35" name="Picture 35" descr="C:\Users\acer\AppData\Local\Temp\ksohtml4864\wp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cer\AppData\Local\Temp\ksohtml4864\wps33.png"/>
                    <pic:cNvPicPr>
                      <a:picLocks noChangeAspect="1" noChangeArrowheads="1"/>
                    </pic:cNvPicPr>
                  </pic:nvPicPr>
                  <pic:blipFill>
                    <a:blip r:embed="rId37"/>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 Per capita GDP differential of Pakistan and foreign country</w:t>
      </w:r>
    </w:p>
    <w:p w:rsidR="00B941CB" w:rsidRPr="005C36F5"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noProof/>
          <w:sz w:val="24"/>
          <w:szCs w:val="24"/>
        </w:rPr>
        <w:drawing>
          <wp:inline distT="0" distB="0" distL="0" distR="0">
            <wp:extent cx="342900" cy="180975"/>
            <wp:effectExtent l="19050" t="0" r="0" b="0"/>
            <wp:docPr id="36" name="Picture 36" descr="C:\Users\acer\AppData\Local\Temp\ksohtml4864\wp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cer\AppData\Local\Temp\ksohtml4864\wps34.png"/>
                    <pic:cNvPicPr>
                      <a:picLocks noChangeAspect="1" noChangeArrowheads="1"/>
                    </pic:cNvPicPr>
                  </pic:nvPicPr>
                  <pic:blipFill>
                    <a:blip r:embed="rId38"/>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5C36F5">
        <w:rPr>
          <w:rFonts w:ascii="Times New Roman" w:hAnsi="Times New Roman" w:cs="Times New Roman"/>
          <w:sz w:val="24"/>
          <w:szCs w:val="24"/>
        </w:rPr>
        <w:t>=Trade/ GDP Ratio of foreign country us</w:t>
      </w:r>
      <w:r w:rsidR="004C5C13" w:rsidRPr="005C36F5">
        <w:rPr>
          <w:rFonts w:ascii="Times New Roman" w:hAnsi="Times New Roman" w:cs="Times New Roman"/>
          <w:sz w:val="24"/>
          <w:szCs w:val="24"/>
        </w:rPr>
        <w:t>ed as a proxy for trade openness</w:t>
      </w:r>
    </w:p>
    <w:p w:rsidR="00B941CB" w:rsidRDefault="00B941CB"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 Dis= capital distance between Pakistan and foreign country</w:t>
      </w:r>
    </w:p>
    <w:p w:rsidR="009747BB" w:rsidRPr="005C36F5" w:rsidRDefault="009747BB" w:rsidP="00EA6A09">
      <w:pPr>
        <w:spacing w:after="0" w:line="240" w:lineRule="auto"/>
        <w:ind w:left="1440"/>
        <w:jc w:val="both"/>
        <w:rPr>
          <w:rFonts w:ascii="Times New Roman" w:hAnsi="Times New Roman" w:cs="Times New Roman"/>
          <w:sz w:val="24"/>
          <w:szCs w:val="24"/>
        </w:rPr>
      </w:pPr>
    </w:p>
    <w:p w:rsidR="00E95827" w:rsidRPr="005C36F5" w:rsidRDefault="00BF40B0"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The study presumes the gravity specification</w:t>
      </w:r>
      <w:r w:rsidR="00BE3D26" w:rsidRPr="005C36F5">
        <w:rPr>
          <w:rFonts w:ascii="Times New Roman" w:hAnsi="Times New Roman" w:cs="Times New Roman"/>
          <w:sz w:val="24"/>
          <w:szCs w:val="24"/>
        </w:rPr>
        <w:t xml:space="preserve"> fo</w:t>
      </w:r>
      <w:r w:rsidRPr="005C36F5">
        <w:rPr>
          <w:rFonts w:ascii="Times New Roman" w:hAnsi="Times New Roman" w:cs="Times New Roman"/>
          <w:sz w:val="24"/>
          <w:szCs w:val="24"/>
        </w:rPr>
        <w:t xml:space="preserve">r DEA model. </w:t>
      </w:r>
      <w:r w:rsidR="00E95827" w:rsidRPr="005C36F5">
        <w:rPr>
          <w:rFonts w:ascii="Times New Roman" w:hAnsi="Times New Roman" w:cs="Times New Roman"/>
          <w:sz w:val="24"/>
          <w:szCs w:val="24"/>
        </w:rPr>
        <w:t>DEA model is used to rank the countries based on the borrowed foundation of gravity model. Partner countries are sorted on the basis of their trade relations with Pakistan. In other words, DEA ranked the countries that are utilizing its full p</w:t>
      </w:r>
      <w:r w:rsidR="00E924BB">
        <w:rPr>
          <w:rFonts w:ascii="Times New Roman" w:hAnsi="Times New Roman" w:cs="Times New Roman"/>
          <w:sz w:val="24"/>
          <w:szCs w:val="24"/>
        </w:rPr>
        <w:t>otential of trade with Pakistan</w:t>
      </w:r>
      <w:r w:rsidR="00E95827" w:rsidRPr="005C36F5">
        <w:rPr>
          <w:rFonts w:ascii="Times New Roman" w:hAnsi="Times New Roman" w:cs="Times New Roman"/>
          <w:sz w:val="24"/>
          <w:szCs w:val="24"/>
        </w:rPr>
        <w:t>.</w:t>
      </w:r>
      <w:r w:rsidR="00E924BB">
        <w:rPr>
          <w:rFonts w:ascii="Times New Roman" w:hAnsi="Times New Roman" w:cs="Times New Roman"/>
          <w:sz w:val="24"/>
          <w:szCs w:val="24"/>
        </w:rPr>
        <w:t xml:space="preserve"> </w:t>
      </w:r>
      <w:r w:rsidR="00E95827" w:rsidRPr="005C36F5">
        <w:rPr>
          <w:rFonts w:ascii="Times New Roman" w:hAnsi="Times New Roman" w:cs="Times New Roman"/>
          <w:sz w:val="24"/>
          <w:szCs w:val="24"/>
        </w:rPr>
        <w:t xml:space="preserve">The countries that are utilizing the relation at it maximum given its GDP, Population, per capita GDP and Distance are laid at Frontier of DEA model. Whereas, countries lay below the frontier are depicting their inefficiency in reference </w:t>
      </w:r>
      <w:r w:rsidR="00E924BB">
        <w:rPr>
          <w:rFonts w:ascii="Times New Roman" w:hAnsi="Times New Roman" w:cs="Times New Roman"/>
          <w:sz w:val="24"/>
          <w:szCs w:val="24"/>
        </w:rPr>
        <w:t xml:space="preserve">to trade potential utilization. </w:t>
      </w:r>
      <w:r w:rsidR="00E95827" w:rsidRPr="005C36F5">
        <w:rPr>
          <w:rFonts w:ascii="Times New Roman" w:hAnsi="Times New Roman" w:cs="Times New Roman"/>
          <w:sz w:val="24"/>
          <w:szCs w:val="24"/>
        </w:rPr>
        <w:t>In other words it indicates that potential exist to be exploited for trade relations.</w:t>
      </w:r>
    </w:p>
    <w:p w:rsidR="009747BB" w:rsidRDefault="009747BB" w:rsidP="00EA6A09">
      <w:pPr>
        <w:spacing w:after="0" w:line="240" w:lineRule="auto"/>
        <w:ind w:left="1440"/>
        <w:jc w:val="both"/>
        <w:rPr>
          <w:rFonts w:ascii="Times New Roman" w:hAnsi="Times New Roman" w:cs="Times New Roman"/>
          <w:sz w:val="24"/>
          <w:szCs w:val="24"/>
        </w:rPr>
      </w:pPr>
    </w:p>
    <w:p w:rsidR="009747BB" w:rsidRDefault="00E95827"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DEA model is a liner programming, non-parametric technique to calculate the relative efficiency of any unit (technically called Decision Making Unit (DMU)) against their peer group without prior information about the shape of the population distribution. It is developed by Charnes, Cooper, and Rhodes (1978). Multiple inputs and outputs can be used (Gutiérrez et al., 2007; Gutierrez &amp; Goitisolo Lezama, 2011); moreover technique is equally beneficial for commercial and non-commercial DMUs as well as in separating technical and scale efficiency</w:t>
      </w:r>
      <w:r w:rsidRPr="005C36F5">
        <w:rPr>
          <w:rFonts w:ascii="Times New Roman" w:hAnsi="Times New Roman" w:cs="Times New Roman"/>
          <w:sz w:val="24"/>
          <w:szCs w:val="24"/>
        </w:rPr>
        <w:br/>
      </w:r>
    </w:p>
    <w:p w:rsidR="00E95827" w:rsidRPr="005C36F5" w:rsidRDefault="00E95827"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Haq et al., 2010; Kabir Hassan &amp; Benito Sanchez, 2009b).</w:t>
      </w:r>
      <w:r w:rsidR="00683A02" w:rsidRPr="005C36F5">
        <w:rPr>
          <w:rFonts w:ascii="Times New Roman" w:hAnsi="Times New Roman" w:cs="Times New Roman"/>
          <w:sz w:val="24"/>
          <w:szCs w:val="24"/>
        </w:rPr>
        <w:t xml:space="preserve">  A significant number of researchers used non-parametric (DEA) technique to estimate the efficiency of working units based on the optimum utilization of input and output available to DMUs. Berger and Humphrey (1997) divided the papers (Out of 132 papers 62 papers used this popular approach) on the basis of methodology to investigate the performance of DMUs and found DEA is the most commonly used technique. Envisaging the importance of gravity model and DEA, this study presented a unique mixture of DEA and Gravity model.</w:t>
      </w:r>
    </w:p>
    <w:p w:rsidR="00C04E7D" w:rsidRDefault="004C5C13"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   </w:t>
      </w:r>
      <w:r w:rsidR="00BE3D26" w:rsidRPr="005C36F5">
        <w:rPr>
          <w:rFonts w:ascii="Times New Roman" w:hAnsi="Times New Roman" w:cs="Times New Roman"/>
          <w:sz w:val="24"/>
          <w:szCs w:val="24"/>
        </w:rPr>
        <w:t xml:space="preserve"> </w:t>
      </w:r>
      <w:r w:rsidR="00BF40B0" w:rsidRPr="005C36F5">
        <w:rPr>
          <w:rFonts w:ascii="Times New Roman" w:hAnsi="Times New Roman" w:cs="Times New Roman"/>
          <w:sz w:val="24"/>
          <w:szCs w:val="24"/>
        </w:rPr>
        <w:t>Import</w:t>
      </w:r>
      <w:r w:rsidR="00BE3D26" w:rsidRPr="005C36F5">
        <w:rPr>
          <w:rFonts w:ascii="Times New Roman" w:hAnsi="Times New Roman" w:cs="Times New Roman"/>
          <w:sz w:val="24"/>
          <w:szCs w:val="24"/>
        </w:rPr>
        <w:t xml:space="preserve"> plus export of Pakistan with it major partner are considered as Output in DEA model. It represents the trade volume between Pakistan and its partner country in a specified time peri</w:t>
      </w:r>
      <w:r w:rsidR="00BF40B0" w:rsidRPr="005C36F5">
        <w:rPr>
          <w:rFonts w:ascii="Times New Roman" w:hAnsi="Times New Roman" w:cs="Times New Roman"/>
          <w:sz w:val="24"/>
          <w:szCs w:val="24"/>
        </w:rPr>
        <w:t>od. This output can be optimized</w:t>
      </w:r>
      <w:r w:rsidR="00BE3D26" w:rsidRPr="005C36F5">
        <w:rPr>
          <w:rFonts w:ascii="Times New Roman" w:hAnsi="Times New Roman" w:cs="Times New Roman"/>
          <w:sz w:val="24"/>
          <w:szCs w:val="24"/>
        </w:rPr>
        <w:t xml:space="preserve"> if the pote</w:t>
      </w:r>
      <w:r w:rsidR="00BF40B0" w:rsidRPr="005C36F5">
        <w:rPr>
          <w:rFonts w:ascii="Times New Roman" w:hAnsi="Times New Roman" w:cs="Times New Roman"/>
          <w:sz w:val="24"/>
          <w:szCs w:val="24"/>
        </w:rPr>
        <w:t>ntial of bilateral trade flows be</w:t>
      </w:r>
      <w:r w:rsidR="00BE3D26" w:rsidRPr="005C36F5">
        <w:rPr>
          <w:rFonts w:ascii="Times New Roman" w:hAnsi="Times New Roman" w:cs="Times New Roman"/>
          <w:sz w:val="24"/>
          <w:szCs w:val="24"/>
        </w:rPr>
        <w:t xml:space="preserve"> fully exploited between trade partners. The bilateral trade potentials are dependent upon the size of economy named as mass effect and distance between partner countries. Distance is basically a proxy to estimate the cost and resistance between partner countries. The study used Population, GDP and Per capita GDP (potentials of trade) as input for DEA.</w:t>
      </w:r>
    </w:p>
    <w:p w:rsidR="009747BB" w:rsidRDefault="009747BB" w:rsidP="00EA6A09">
      <w:pPr>
        <w:spacing w:after="0" w:line="240" w:lineRule="auto"/>
        <w:ind w:left="1440"/>
        <w:jc w:val="both"/>
        <w:rPr>
          <w:rFonts w:ascii="Times New Roman" w:hAnsi="Times New Roman" w:cs="Times New Roman"/>
          <w:sz w:val="24"/>
          <w:szCs w:val="24"/>
        </w:rPr>
      </w:pPr>
    </w:p>
    <w:p w:rsidR="00E924BB" w:rsidRPr="005C36F5" w:rsidRDefault="00E924BB" w:rsidP="00E924BB">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Data is taken from World Bank Trade statistics and Trade Map. </w:t>
      </w:r>
      <w:r w:rsidRPr="005C36F5">
        <w:rPr>
          <w:rFonts w:ascii="Times New Roman" w:eastAsia="Times New Roman" w:hAnsi="Times New Roman" w:cs="Times New Roman"/>
          <w:color w:val="000000"/>
          <w:sz w:val="24"/>
          <w:szCs w:val="24"/>
        </w:rPr>
        <w:t xml:space="preserve">Total 60 partner of Pakistan has been taken for the analysis. </w:t>
      </w:r>
      <w:r w:rsidRPr="005C36F5">
        <w:rPr>
          <w:rFonts w:ascii="Times New Roman" w:hAnsi="Times New Roman" w:cs="Times New Roman"/>
          <w:sz w:val="24"/>
          <w:szCs w:val="24"/>
        </w:rPr>
        <w:t xml:space="preserve">Trade volumes have been taken on the base of recent 8 years averages of import from and export to a specific partner of Pakistan. </w:t>
      </w:r>
    </w:p>
    <w:p w:rsidR="00E924BB" w:rsidRDefault="00E924BB" w:rsidP="00EA6A09">
      <w:pPr>
        <w:spacing w:after="0" w:line="240" w:lineRule="auto"/>
        <w:ind w:left="1440"/>
        <w:jc w:val="both"/>
        <w:rPr>
          <w:rFonts w:ascii="Times New Roman" w:hAnsi="Times New Roman" w:cs="Times New Roman"/>
          <w:sz w:val="24"/>
          <w:szCs w:val="24"/>
        </w:rPr>
      </w:pPr>
    </w:p>
    <w:p w:rsidR="00E924BB" w:rsidRDefault="00E924BB" w:rsidP="00EA6A09">
      <w:pPr>
        <w:spacing w:after="0" w:line="240" w:lineRule="auto"/>
        <w:ind w:left="1440"/>
        <w:jc w:val="both"/>
        <w:rPr>
          <w:rFonts w:ascii="Times New Roman" w:hAnsi="Times New Roman" w:cs="Times New Roman"/>
          <w:sz w:val="24"/>
          <w:szCs w:val="24"/>
        </w:rPr>
      </w:pPr>
    </w:p>
    <w:p w:rsidR="00E924BB" w:rsidRPr="005C36F5" w:rsidRDefault="00E924BB" w:rsidP="00E924BB">
      <w:pPr>
        <w:spacing w:after="0" w:line="240" w:lineRule="auto"/>
        <w:jc w:val="both"/>
        <w:rPr>
          <w:rFonts w:ascii="Times New Roman" w:hAnsi="Times New Roman" w:cs="Times New Roman"/>
          <w:sz w:val="24"/>
          <w:szCs w:val="24"/>
        </w:rPr>
      </w:pPr>
    </w:p>
    <w:p w:rsidR="004C5C13" w:rsidRPr="005C36F5" w:rsidRDefault="004C5C13" w:rsidP="00EA6A09">
      <w:pPr>
        <w:spacing w:after="0" w:line="240" w:lineRule="auto"/>
        <w:ind w:left="1440"/>
        <w:jc w:val="both"/>
        <w:rPr>
          <w:rFonts w:ascii="Times New Roman" w:hAnsi="Times New Roman" w:cs="Times New Roman"/>
          <w:b/>
          <w:sz w:val="24"/>
          <w:szCs w:val="24"/>
        </w:rPr>
      </w:pPr>
      <w:r w:rsidRPr="005C36F5">
        <w:rPr>
          <w:rFonts w:ascii="Times New Roman" w:hAnsi="Times New Roman" w:cs="Times New Roman"/>
          <w:b/>
          <w:sz w:val="24"/>
          <w:szCs w:val="24"/>
        </w:rPr>
        <w:lastRenderedPageBreak/>
        <w:t>Table 1</w:t>
      </w:r>
      <w:r w:rsidR="009747BB">
        <w:rPr>
          <w:rFonts w:ascii="Times New Roman" w:hAnsi="Times New Roman" w:cs="Times New Roman"/>
          <w:b/>
          <w:sz w:val="24"/>
          <w:szCs w:val="24"/>
        </w:rPr>
        <w:t>:</w:t>
      </w:r>
      <w:r w:rsidR="009747BB" w:rsidRPr="009747BB">
        <w:rPr>
          <w:rFonts w:ascii="Times New Roman" w:hAnsi="Times New Roman" w:cs="Times New Roman"/>
          <w:b/>
          <w:sz w:val="24"/>
          <w:szCs w:val="24"/>
        </w:rPr>
        <w:t xml:space="preserve"> </w:t>
      </w:r>
      <w:r w:rsidR="009747BB" w:rsidRPr="009747BB">
        <w:rPr>
          <w:rFonts w:ascii="Times New Roman" w:hAnsi="Times New Roman" w:cs="Times New Roman"/>
          <w:sz w:val="24"/>
          <w:szCs w:val="24"/>
        </w:rPr>
        <w:t>Input-Output Variables</w:t>
      </w:r>
    </w:p>
    <w:p w:rsidR="004C5C13" w:rsidRPr="005C36F5" w:rsidRDefault="004C5C13" w:rsidP="00EA6A09">
      <w:pPr>
        <w:spacing w:after="0" w:line="240" w:lineRule="auto"/>
        <w:ind w:left="1440"/>
        <w:jc w:val="both"/>
        <w:rPr>
          <w:rFonts w:ascii="Times New Roman" w:hAnsi="Times New Roman" w:cs="Times New Roman"/>
          <w:b/>
          <w:sz w:val="24"/>
          <w:szCs w:val="24"/>
        </w:rPr>
      </w:pPr>
    </w:p>
    <w:tbl>
      <w:tblPr>
        <w:tblStyle w:val="TableGrid"/>
        <w:tblW w:w="7560" w:type="dxa"/>
        <w:tblInd w:w="1548" w:type="dxa"/>
        <w:tblLayout w:type="fixed"/>
        <w:tblLook w:val="04A0" w:firstRow="1" w:lastRow="0" w:firstColumn="1" w:lastColumn="0" w:noHBand="0" w:noVBand="1"/>
      </w:tblPr>
      <w:tblGrid>
        <w:gridCol w:w="1710"/>
        <w:gridCol w:w="1620"/>
        <w:gridCol w:w="1440"/>
        <w:gridCol w:w="1260"/>
        <w:gridCol w:w="1530"/>
      </w:tblGrid>
      <w:tr w:rsidR="00EA6A09" w:rsidRPr="005C36F5" w:rsidTr="00EA6A09">
        <w:trPr>
          <w:trHeight w:val="511"/>
        </w:trPr>
        <w:tc>
          <w:tcPr>
            <w:tcW w:w="1710" w:type="dxa"/>
          </w:tcPr>
          <w:p w:rsidR="00C36189" w:rsidRPr="005C36F5" w:rsidRDefault="00EA6A09" w:rsidP="005C36F5">
            <w:pPr>
              <w:jc w:val="both"/>
              <w:rPr>
                <w:rFonts w:ascii="Times New Roman" w:hAnsi="Times New Roman" w:cs="Times New Roman"/>
                <w:b/>
                <w:sz w:val="24"/>
                <w:szCs w:val="24"/>
              </w:rPr>
            </w:pPr>
            <w:r>
              <w:rPr>
                <w:rFonts w:ascii="Times New Roman" w:hAnsi="Times New Roman" w:cs="Times New Roman"/>
                <w:b/>
                <w:sz w:val="24"/>
                <w:szCs w:val="24"/>
              </w:rPr>
              <w:t xml:space="preserve">Input </w:t>
            </w:r>
            <w:r w:rsidR="00BE3D26" w:rsidRPr="005C36F5">
              <w:rPr>
                <w:rFonts w:ascii="Times New Roman" w:hAnsi="Times New Roman" w:cs="Times New Roman"/>
                <w:b/>
                <w:sz w:val="24"/>
                <w:szCs w:val="24"/>
              </w:rPr>
              <w:t>Variables</w:t>
            </w:r>
          </w:p>
        </w:tc>
        <w:tc>
          <w:tcPr>
            <w:tcW w:w="1620" w:type="dxa"/>
          </w:tcPr>
          <w:p w:rsidR="00C36189" w:rsidRPr="005C36F5" w:rsidRDefault="00E95827" w:rsidP="005C36F5">
            <w:pPr>
              <w:jc w:val="both"/>
              <w:rPr>
                <w:rFonts w:ascii="Times New Roman" w:hAnsi="Times New Roman" w:cs="Times New Roman"/>
                <w:b/>
                <w:sz w:val="24"/>
                <w:szCs w:val="24"/>
              </w:rPr>
            </w:pPr>
            <w:r w:rsidRPr="005C36F5">
              <w:rPr>
                <w:rFonts w:ascii="Times New Roman" w:hAnsi="Times New Roman" w:cs="Times New Roman"/>
                <w:b/>
                <w:sz w:val="24"/>
                <w:szCs w:val="24"/>
              </w:rPr>
              <w:t>definition</w:t>
            </w:r>
          </w:p>
        </w:tc>
        <w:tc>
          <w:tcPr>
            <w:tcW w:w="1440" w:type="dxa"/>
          </w:tcPr>
          <w:p w:rsidR="00C36189" w:rsidRPr="005C36F5" w:rsidRDefault="00E95827" w:rsidP="005C36F5">
            <w:pPr>
              <w:jc w:val="both"/>
              <w:rPr>
                <w:rFonts w:ascii="Times New Roman" w:hAnsi="Times New Roman" w:cs="Times New Roman"/>
                <w:b/>
                <w:sz w:val="24"/>
                <w:szCs w:val="24"/>
              </w:rPr>
            </w:pPr>
            <w:r w:rsidRPr="005C36F5">
              <w:rPr>
                <w:rFonts w:ascii="Times New Roman" w:hAnsi="Times New Roman" w:cs="Times New Roman"/>
                <w:b/>
                <w:sz w:val="24"/>
                <w:szCs w:val="24"/>
              </w:rPr>
              <w:t>Expected relation</w:t>
            </w:r>
          </w:p>
        </w:tc>
        <w:tc>
          <w:tcPr>
            <w:tcW w:w="1260" w:type="dxa"/>
          </w:tcPr>
          <w:p w:rsidR="00C36189" w:rsidRPr="005C36F5" w:rsidRDefault="001958C3" w:rsidP="005C36F5">
            <w:pPr>
              <w:jc w:val="both"/>
              <w:rPr>
                <w:rFonts w:ascii="Times New Roman" w:hAnsi="Times New Roman" w:cs="Times New Roman"/>
                <w:b/>
                <w:sz w:val="24"/>
                <w:szCs w:val="24"/>
              </w:rPr>
            </w:pPr>
            <w:r w:rsidRPr="005C36F5">
              <w:rPr>
                <w:rFonts w:ascii="Times New Roman" w:hAnsi="Times New Roman" w:cs="Times New Roman"/>
                <w:b/>
                <w:sz w:val="24"/>
                <w:szCs w:val="24"/>
              </w:rPr>
              <w:t>V</w:t>
            </w:r>
            <w:r w:rsidR="00BE3D26" w:rsidRPr="005C36F5">
              <w:rPr>
                <w:rFonts w:ascii="Times New Roman" w:hAnsi="Times New Roman" w:cs="Times New Roman"/>
                <w:b/>
                <w:sz w:val="24"/>
                <w:szCs w:val="24"/>
              </w:rPr>
              <w:t>ariable</w:t>
            </w:r>
            <w:r w:rsidRPr="005C36F5">
              <w:rPr>
                <w:rFonts w:ascii="Times New Roman" w:hAnsi="Times New Roman" w:cs="Times New Roman"/>
                <w:b/>
                <w:sz w:val="24"/>
                <w:szCs w:val="24"/>
              </w:rPr>
              <w:t>s</w:t>
            </w:r>
          </w:p>
        </w:tc>
        <w:tc>
          <w:tcPr>
            <w:tcW w:w="1530" w:type="dxa"/>
          </w:tcPr>
          <w:p w:rsidR="00C36189" w:rsidRPr="005C36F5" w:rsidRDefault="00C36189" w:rsidP="005C36F5">
            <w:pPr>
              <w:jc w:val="both"/>
              <w:rPr>
                <w:rFonts w:ascii="Times New Roman" w:hAnsi="Times New Roman" w:cs="Times New Roman"/>
                <w:b/>
                <w:sz w:val="24"/>
                <w:szCs w:val="24"/>
              </w:rPr>
            </w:pPr>
          </w:p>
        </w:tc>
      </w:tr>
      <w:tr w:rsidR="00EA6A09" w:rsidRPr="005C36F5" w:rsidTr="00EA6A09">
        <w:trPr>
          <w:trHeight w:val="1350"/>
        </w:trPr>
        <w:tc>
          <w:tcPr>
            <w:tcW w:w="1710" w:type="dxa"/>
          </w:tcPr>
          <w:p w:rsidR="00C36189" w:rsidRPr="005C36F5" w:rsidRDefault="00BE3D26" w:rsidP="00084802">
            <w:pPr>
              <w:rPr>
                <w:rFonts w:ascii="Times New Roman" w:eastAsia="Times New Roman" w:hAnsi="Times New Roman" w:cs="Times New Roman"/>
                <w:color w:val="000000"/>
                <w:sz w:val="24"/>
                <w:szCs w:val="24"/>
              </w:rPr>
            </w:pPr>
            <w:r w:rsidRPr="005C36F5">
              <w:rPr>
                <w:rFonts w:ascii="Times New Roman" w:hAnsi="Times New Roman" w:cs="Times New Roman"/>
                <w:sz w:val="24"/>
                <w:szCs w:val="24"/>
              </w:rPr>
              <w:t>GDP</w:t>
            </w:r>
            <w:r w:rsidR="00084802">
              <w:rPr>
                <w:rFonts w:ascii="Times New Roman" w:hAnsi="Times New Roman" w:cs="Times New Roman"/>
                <w:sz w:val="24"/>
                <w:szCs w:val="24"/>
              </w:rPr>
              <w:t xml:space="preserve"> </w:t>
            </w:r>
            <w:r w:rsidRPr="005C36F5">
              <w:rPr>
                <w:rFonts w:ascii="Times New Roman" w:eastAsia="Times New Roman" w:hAnsi="Times New Roman" w:cs="Times New Roman"/>
                <w:color w:val="000000"/>
                <w:sz w:val="24"/>
                <w:szCs w:val="24"/>
              </w:rPr>
              <w:t>(constant 2010 US$)</w:t>
            </w:r>
          </w:p>
        </w:tc>
        <w:tc>
          <w:tcPr>
            <w:tcW w:w="162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Measure the potential of bilateral trade between countries</w:t>
            </w:r>
          </w:p>
        </w:tc>
        <w:tc>
          <w:tcPr>
            <w:tcW w:w="1440" w:type="dxa"/>
          </w:tcPr>
          <w:p w:rsidR="00C36189" w:rsidRPr="005C36F5" w:rsidRDefault="00C36189" w:rsidP="00084802">
            <w:pPr>
              <w:rPr>
                <w:rFonts w:ascii="Times New Roman" w:hAnsi="Times New Roman" w:cs="Times New Roman"/>
                <w:sz w:val="24"/>
                <w:szCs w:val="24"/>
              </w:rPr>
            </w:pPr>
          </w:p>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Higher GDP more trade</w:t>
            </w:r>
          </w:p>
          <w:p w:rsidR="00C36189" w:rsidRPr="005C36F5" w:rsidRDefault="00C36189" w:rsidP="00084802">
            <w:pPr>
              <w:rPr>
                <w:rFonts w:ascii="Times New Roman" w:hAnsi="Times New Roman" w:cs="Times New Roman"/>
                <w:sz w:val="24"/>
                <w:szCs w:val="24"/>
              </w:rPr>
            </w:pPr>
          </w:p>
        </w:tc>
        <w:tc>
          <w:tcPr>
            <w:tcW w:w="126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Bilateral trade flows</w:t>
            </w:r>
          </w:p>
          <w:p w:rsidR="001958C3" w:rsidRPr="005C36F5" w:rsidRDefault="001958C3" w:rsidP="00084802">
            <w:pPr>
              <w:rPr>
                <w:rFonts w:ascii="Times New Roman" w:hAnsi="Times New Roman" w:cs="Times New Roman"/>
                <w:sz w:val="24"/>
                <w:szCs w:val="24"/>
              </w:rPr>
            </w:pPr>
            <w:r w:rsidRPr="005C36F5">
              <w:rPr>
                <w:rFonts w:ascii="Times New Roman" w:hAnsi="Times New Roman" w:cs="Times New Roman"/>
                <w:sz w:val="24"/>
                <w:szCs w:val="24"/>
              </w:rPr>
              <w:t>Output variable</w:t>
            </w:r>
          </w:p>
        </w:tc>
        <w:tc>
          <w:tcPr>
            <w:tcW w:w="153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Export + Import between Pakistan and its Partner country</w:t>
            </w:r>
          </w:p>
        </w:tc>
      </w:tr>
      <w:tr w:rsidR="00EA6A09" w:rsidRPr="005C36F5" w:rsidTr="00EA6A09">
        <w:trPr>
          <w:trHeight w:val="1023"/>
        </w:trPr>
        <w:tc>
          <w:tcPr>
            <w:tcW w:w="171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Per capita GDP</w:t>
            </w:r>
          </w:p>
          <w:p w:rsidR="00C36189" w:rsidRPr="005C36F5" w:rsidRDefault="00BE3D26" w:rsidP="00084802">
            <w:pPr>
              <w:rPr>
                <w:rFonts w:ascii="Times New Roman" w:hAnsi="Times New Roman" w:cs="Times New Roman"/>
                <w:sz w:val="24"/>
                <w:szCs w:val="24"/>
              </w:rPr>
            </w:pPr>
            <w:r w:rsidRPr="005C36F5">
              <w:rPr>
                <w:rFonts w:ascii="Times New Roman" w:eastAsia="Times New Roman" w:hAnsi="Times New Roman" w:cs="Times New Roman"/>
                <w:color w:val="000000"/>
                <w:sz w:val="24"/>
                <w:szCs w:val="24"/>
              </w:rPr>
              <w:t>(constant 2010 US$)</w:t>
            </w:r>
          </w:p>
        </w:tc>
        <w:tc>
          <w:tcPr>
            <w:tcW w:w="162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Measures the development level between countries</w:t>
            </w:r>
          </w:p>
        </w:tc>
        <w:tc>
          <w:tcPr>
            <w:tcW w:w="144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Similar per capita GDP more trade</w:t>
            </w:r>
          </w:p>
        </w:tc>
        <w:tc>
          <w:tcPr>
            <w:tcW w:w="1260" w:type="dxa"/>
          </w:tcPr>
          <w:p w:rsidR="00C36189" w:rsidRPr="005C36F5" w:rsidRDefault="00E2615E" w:rsidP="00084802">
            <w:pPr>
              <w:rPr>
                <w:rFonts w:ascii="Times New Roman" w:hAnsi="Times New Roman" w:cs="Times New Roman"/>
                <w:sz w:val="24"/>
                <w:szCs w:val="24"/>
              </w:rPr>
            </w:pPr>
            <w:r w:rsidRPr="005C36F5">
              <w:rPr>
                <w:rFonts w:ascii="Times New Roman" w:hAnsi="Times New Roman" w:cs="Times New Roman"/>
                <w:sz w:val="24"/>
                <w:szCs w:val="24"/>
              </w:rPr>
              <w:t>Input variable</w:t>
            </w:r>
          </w:p>
        </w:tc>
        <w:tc>
          <w:tcPr>
            <w:tcW w:w="1530" w:type="dxa"/>
          </w:tcPr>
          <w:p w:rsidR="001958C3" w:rsidRPr="005C36F5" w:rsidRDefault="001958C3" w:rsidP="00084802">
            <w:pPr>
              <w:rPr>
                <w:rFonts w:ascii="Times New Roman" w:hAnsi="Times New Roman" w:cs="Times New Roman"/>
                <w:sz w:val="24"/>
                <w:szCs w:val="24"/>
              </w:rPr>
            </w:pPr>
          </w:p>
          <w:p w:rsidR="00C36189" w:rsidRPr="005C36F5" w:rsidRDefault="001958C3" w:rsidP="00084802">
            <w:pPr>
              <w:rPr>
                <w:rFonts w:ascii="Times New Roman" w:hAnsi="Times New Roman" w:cs="Times New Roman"/>
                <w:sz w:val="24"/>
                <w:szCs w:val="24"/>
              </w:rPr>
            </w:pPr>
            <w:r w:rsidRPr="005C36F5">
              <w:rPr>
                <w:rFonts w:ascii="Times New Roman" w:hAnsi="Times New Roman" w:cs="Times New Roman"/>
                <w:sz w:val="24"/>
                <w:szCs w:val="24"/>
              </w:rPr>
              <w:t>GDP/Population</w:t>
            </w:r>
          </w:p>
        </w:tc>
      </w:tr>
      <w:tr w:rsidR="00EA6A09" w:rsidRPr="005C36F5" w:rsidTr="00EA6A09">
        <w:trPr>
          <w:trHeight w:val="767"/>
        </w:trPr>
        <w:tc>
          <w:tcPr>
            <w:tcW w:w="171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Population</w:t>
            </w:r>
          </w:p>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(Millions)</w:t>
            </w:r>
          </w:p>
        </w:tc>
        <w:tc>
          <w:tcPr>
            <w:tcW w:w="162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Measure the demand and supply for markets</w:t>
            </w:r>
          </w:p>
        </w:tc>
        <w:tc>
          <w:tcPr>
            <w:tcW w:w="144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More population more trade</w:t>
            </w:r>
          </w:p>
        </w:tc>
        <w:tc>
          <w:tcPr>
            <w:tcW w:w="1260" w:type="dxa"/>
          </w:tcPr>
          <w:p w:rsidR="00C36189" w:rsidRPr="005C36F5" w:rsidRDefault="00E2615E" w:rsidP="00084802">
            <w:pPr>
              <w:rPr>
                <w:rFonts w:ascii="Times New Roman" w:hAnsi="Times New Roman" w:cs="Times New Roman"/>
                <w:sz w:val="24"/>
                <w:szCs w:val="24"/>
              </w:rPr>
            </w:pPr>
            <w:r w:rsidRPr="005C36F5">
              <w:rPr>
                <w:rFonts w:ascii="Times New Roman" w:hAnsi="Times New Roman" w:cs="Times New Roman"/>
                <w:sz w:val="24"/>
                <w:szCs w:val="24"/>
              </w:rPr>
              <w:t>Input  variable</w:t>
            </w:r>
          </w:p>
        </w:tc>
        <w:tc>
          <w:tcPr>
            <w:tcW w:w="1530" w:type="dxa"/>
          </w:tcPr>
          <w:p w:rsidR="00C36189" w:rsidRPr="005C36F5" w:rsidRDefault="00C36189" w:rsidP="00084802">
            <w:pPr>
              <w:rPr>
                <w:rFonts w:ascii="Times New Roman" w:hAnsi="Times New Roman" w:cs="Times New Roman"/>
                <w:sz w:val="24"/>
                <w:szCs w:val="24"/>
              </w:rPr>
            </w:pPr>
          </w:p>
          <w:p w:rsidR="001958C3" w:rsidRPr="005C36F5" w:rsidRDefault="001958C3" w:rsidP="00084802">
            <w:pPr>
              <w:rPr>
                <w:rFonts w:ascii="Times New Roman" w:hAnsi="Times New Roman" w:cs="Times New Roman"/>
                <w:sz w:val="24"/>
                <w:szCs w:val="24"/>
              </w:rPr>
            </w:pPr>
            <w:r w:rsidRPr="005C36F5">
              <w:rPr>
                <w:rFonts w:ascii="Times New Roman" w:hAnsi="Times New Roman" w:cs="Times New Roman"/>
                <w:sz w:val="24"/>
                <w:szCs w:val="24"/>
              </w:rPr>
              <w:t>…………….</w:t>
            </w:r>
          </w:p>
        </w:tc>
      </w:tr>
      <w:tr w:rsidR="00EA6A09" w:rsidRPr="005C36F5" w:rsidTr="00EA6A09">
        <w:trPr>
          <w:trHeight w:val="1011"/>
        </w:trPr>
        <w:tc>
          <w:tcPr>
            <w:tcW w:w="171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Distance</w:t>
            </w:r>
          </w:p>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(Miles)</w:t>
            </w:r>
          </w:p>
        </w:tc>
        <w:tc>
          <w:tcPr>
            <w:tcW w:w="162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Measure the transport and other cost</w:t>
            </w:r>
          </w:p>
        </w:tc>
        <w:tc>
          <w:tcPr>
            <w:tcW w:w="1440" w:type="dxa"/>
          </w:tcPr>
          <w:p w:rsidR="00C36189" w:rsidRPr="005C36F5" w:rsidRDefault="00BE3D26" w:rsidP="00084802">
            <w:pPr>
              <w:rPr>
                <w:rFonts w:ascii="Times New Roman" w:hAnsi="Times New Roman" w:cs="Times New Roman"/>
                <w:sz w:val="24"/>
                <w:szCs w:val="24"/>
              </w:rPr>
            </w:pPr>
            <w:r w:rsidRPr="005C36F5">
              <w:rPr>
                <w:rFonts w:ascii="Times New Roman" w:hAnsi="Times New Roman" w:cs="Times New Roman"/>
                <w:sz w:val="24"/>
                <w:szCs w:val="24"/>
              </w:rPr>
              <w:t>more distance less trade</w:t>
            </w:r>
          </w:p>
        </w:tc>
        <w:tc>
          <w:tcPr>
            <w:tcW w:w="1260" w:type="dxa"/>
          </w:tcPr>
          <w:p w:rsidR="00C36189" w:rsidRPr="005C36F5" w:rsidRDefault="00E2615E" w:rsidP="00084802">
            <w:pPr>
              <w:rPr>
                <w:rFonts w:ascii="Times New Roman" w:hAnsi="Times New Roman" w:cs="Times New Roman"/>
                <w:sz w:val="24"/>
                <w:szCs w:val="24"/>
              </w:rPr>
            </w:pPr>
            <w:r w:rsidRPr="005C36F5">
              <w:rPr>
                <w:rFonts w:ascii="Times New Roman" w:hAnsi="Times New Roman" w:cs="Times New Roman"/>
                <w:sz w:val="24"/>
                <w:szCs w:val="24"/>
              </w:rPr>
              <w:t>Input variable</w:t>
            </w:r>
          </w:p>
        </w:tc>
        <w:tc>
          <w:tcPr>
            <w:tcW w:w="1530" w:type="dxa"/>
          </w:tcPr>
          <w:p w:rsidR="00C36189" w:rsidRPr="005C36F5" w:rsidRDefault="001958C3" w:rsidP="00084802">
            <w:pPr>
              <w:rPr>
                <w:rFonts w:ascii="Times New Roman" w:hAnsi="Times New Roman" w:cs="Times New Roman"/>
                <w:sz w:val="24"/>
                <w:szCs w:val="24"/>
              </w:rPr>
            </w:pPr>
            <w:r w:rsidRPr="005C36F5">
              <w:rPr>
                <w:rFonts w:ascii="Times New Roman" w:hAnsi="Times New Roman" w:cs="Times New Roman"/>
                <w:sz w:val="24"/>
                <w:szCs w:val="24"/>
              </w:rPr>
              <w:t>Capital cities difference between trading partners</w:t>
            </w:r>
          </w:p>
        </w:tc>
      </w:tr>
    </w:tbl>
    <w:p w:rsidR="00E95827" w:rsidRPr="005C36F5" w:rsidRDefault="00E95827" w:rsidP="00EA6A09">
      <w:pPr>
        <w:spacing w:after="0" w:line="240" w:lineRule="auto"/>
        <w:ind w:left="1440"/>
        <w:jc w:val="both"/>
        <w:rPr>
          <w:rFonts w:ascii="Times New Roman" w:hAnsi="Times New Roman" w:cs="Times New Roman"/>
          <w:sz w:val="24"/>
          <w:szCs w:val="24"/>
        </w:rPr>
      </w:pPr>
    </w:p>
    <w:p w:rsidR="00C36189" w:rsidRDefault="00853535" w:rsidP="00EA6A09">
      <w:pPr>
        <w:autoSpaceDE w:val="0"/>
        <w:autoSpaceDN w:val="0"/>
        <w:adjustRightInd w:val="0"/>
        <w:spacing w:after="0" w:line="240" w:lineRule="auto"/>
        <w:ind w:left="1440"/>
        <w:jc w:val="both"/>
        <w:rPr>
          <w:rFonts w:ascii="Times New Roman" w:hAnsi="Times New Roman" w:cs="Times New Roman"/>
          <w:b/>
          <w:bCs/>
          <w:sz w:val="24"/>
          <w:szCs w:val="24"/>
        </w:rPr>
      </w:pPr>
      <w:r w:rsidRPr="005C36F5">
        <w:rPr>
          <w:rFonts w:ascii="Times New Roman" w:hAnsi="Times New Roman" w:cs="Times New Roman"/>
          <w:b/>
          <w:bCs/>
          <w:sz w:val="24"/>
          <w:szCs w:val="24"/>
        </w:rPr>
        <w:t>DATA ANALYSIS AND DISCUSSIONS</w:t>
      </w:r>
    </w:p>
    <w:p w:rsidR="00C36189" w:rsidRPr="005C36F5" w:rsidRDefault="00BE3D26" w:rsidP="00EA6A09">
      <w:pPr>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The sample size of the study consists of Pakistan’s Trade partner, available with latest complete information on TradeMap database for the cross sectional data analysis. Descriptive statistics and Data Envelopment Analysis (DEA), results are reported below. Keeping into consideration the limitation of input and output variables for DEA models, this study adopted </w:t>
      </w:r>
      <w:r w:rsidRPr="005C36F5">
        <w:rPr>
          <w:rFonts w:ascii="Times New Roman" w:hAnsi="Times New Roman" w:cs="Times New Roman"/>
          <w:iCs/>
          <w:sz w:val="24"/>
          <w:szCs w:val="24"/>
        </w:rPr>
        <w:t xml:space="preserve">an input–output approach </w:t>
      </w:r>
      <w:r w:rsidRPr="005C36F5">
        <w:rPr>
          <w:rFonts w:ascii="Times New Roman" w:hAnsi="Times New Roman" w:cs="Times New Roman"/>
          <w:sz w:val="24"/>
          <w:szCs w:val="24"/>
        </w:rPr>
        <w:t>to estimate various DEA efficiency scores.</w:t>
      </w:r>
    </w:p>
    <w:p w:rsidR="00EA6A09" w:rsidRDefault="00EA6A09" w:rsidP="00EA6A09">
      <w:pPr>
        <w:spacing w:after="0" w:line="240" w:lineRule="auto"/>
        <w:ind w:left="2880"/>
        <w:jc w:val="both"/>
        <w:rPr>
          <w:rFonts w:ascii="Times New Roman" w:eastAsia="Times New Roman" w:hAnsi="Times New Roman" w:cs="Times New Roman"/>
          <w:b/>
          <w:color w:val="000000"/>
          <w:sz w:val="24"/>
          <w:szCs w:val="24"/>
        </w:rPr>
      </w:pPr>
    </w:p>
    <w:p w:rsidR="00EA6A09" w:rsidRDefault="004C5C13" w:rsidP="00EA6A09">
      <w:pPr>
        <w:spacing w:after="0" w:line="240" w:lineRule="auto"/>
        <w:ind w:left="1440"/>
        <w:jc w:val="both"/>
        <w:rPr>
          <w:rFonts w:ascii="Times New Roman" w:eastAsia="Times New Roman" w:hAnsi="Times New Roman" w:cs="Times New Roman"/>
          <w:color w:val="000000"/>
          <w:sz w:val="24"/>
          <w:szCs w:val="24"/>
        </w:rPr>
      </w:pPr>
      <w:r w:rsidRPr="005C36F5">
        <w:rPr>
          <w:rFonts w:ascii="Times New Roman" w:eastAsia="Times New Roman" w:hAnsi="Times New Roman" w:cs="Times New Roman"/>
          <w:b/>
          <w:color w:val="000000"/>
          <w:sz w:val="24"/>
          <w:szCs w:val="24"/>
        </w:rPr>
        <w:t>Table II</w:t>
      </w:r>
      <w:r w:rsidR="00EA6A09">
        <w:rPr>
          <w:rFonts w:ascii="Times New Roman" w:eastAsia="Times New Roman" w:hAnsi="Times New Roman" w:cs="Times New Roman"/>
          <w:b/>
          <w:color w:val="000000"/>
          <w:sz w:val="24"/>
          <w:szCs w:val="24"/>
        </w:rPr>
        <w:t xml:space="preserve"> </w:t>
      </w:r>
      <w:r w:rsidR="00BE3D26" w:rsidRPr="00EA6A09">
        <w:rPr>
          <w:rFonts w:ascii="Times New Roman" w:eastAsia="Times New Roman" w:hAnsi="Times New Roman" w:cs="Times New Roman"/>
          <w:color w:val="000000"/>
          <w:sz w:val="24"/>
          <w:szCs w:val="24"/>
        </w:rPr>
        <w:t>Distribution of Trade Shares between Trade Partners and Pakistan</w:t>
      </w:r>
    </w:p>
    <w:p w:rsidR="00C36189" w:rsidRPr="00EA6A09" w:rsidRDefault="00BE3D26" w:rsidP="00EA6A09">
      <w:pPr>
        <w:spacing w:after="0" w:line="240" w:lineRule="auto"/>
        <w:ind w:left="1440"/>
        <w:jc w:val="both"/>
        <w:rPr>
          <w:rFonts w:ascii="Times New Roman" w:eastAsia="Times New Roman" w:hAnsi="Times New Roman" w:cs="Times New Roman"/>
          <w:color w:val="000000"/>
          <w:sz w:val="24"/>
          <w:szCs w:val="24"/>
        </w:rPr>
      </w:pPr>
      <w:r w:rsidRPr="00EA6A09">
        <w:rPr>
          <w:rFonts w:ascii="Times New Roman" w:hAnsi="Times New Roman" w:cs="Times New Roman"/>
          <w:sz w:val="24"/>
          <w:szCs w:val="24"/>
        </w:rPr>
        <w:tab/>
      </w:r>
    </w:p>
    <w:tbl>
      <w:tblPr>
        <w:tblStyle w:val="TableGrid"/>
        <w:tblW w:w="7560" w:type="dxa"/>
        <w:tblInd w:w="1548" w:type="dxa"/>
        <w:tblLayout w:type="fixed"/>
        <w:tblLook w:val="04A0" w:firstRow="1" w:lastRow="0" w:firstColumn="1" w:lastColumn="0" w:noHBand="0" w:noVBand="1"/>
      </w:tblPr>
      <w:tblGrid>
        <w:gridCol w:w="1966"/>
        <w:gridCol w:w="1274"/>
        <w:gridCol w:w="1260"/>
        <w:gridCol w:w="1530"/>
        <w:gridCol w:w="1530"/>
      </w:tblGrid>
      <w:tr w:rsidR="00C36189" w:rsidRPr="005C36F5" w:rsidTr="00EA6A09">
        <w:trPr>
          <w:trHeight w:val="266"/>
        </w:trPr>
        <w:tc>
          <w:tcPr>
            <w:tcW w:w="1966"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1274"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1260"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Cumulative</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Cumulative</w:t>
            </w:r>
          </w:p>
        </w:tc>
      </w:tr>
      <w:tr w:rsidR="00C36189" w:rsidRPr="005C36F5" w:rsidTr="00EA6A09">
        <w:trPr>
          <w:trHeight w:val="266"/>
        </w:trPr>
        <w:tc>
          <w:tcPr>
            <w:tcW w:w="1966"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Value</w:t>
            </w:r>
          </w:p>
        </w:tc>
        <w:tc>
          <w:tcPr>
            <w:tcW w:w="127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Count</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Percent</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Count</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Percent</w:t>
            </w:r>
          </w:p>
        </w:tc>
      </w:tr>
      <w:tr w:rsidR="00C36189" w:rsidRPr="005C36F5" w:rsidTr="00EA6A09">
        <w:trPr>
          <w:trHeight w:val="266"/>
        </w:trPr>
        <w:tc>
          <w:tcPr>
            <w:tcW w:w="1966"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[0, 200000)</w:t>
            </w:r>
          </w:p>
        </w:tc>
        <w:tc>
          <w:tcPr>
            <w:tcW w:w="127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32</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53.33</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32</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53.33</w:t>
            </w:r>
          </w:p>
        </w:tc>
      </w:tr>
      <w:tr w:rsidR="00C36189" w:rsidRPr="005C36F5" w:rsidTr="00EA6A09">
        <w:trPr>
          <w:trHeight w:val="266"/>
        </w:trPr>
        <w:tc>
          <w:tcPr>
            <w:tcW w:w="1966"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[200000, 400000)</w:t>
            </w:r>
          </w:p>
        </w:tc>
        <w:tc>
          <w:tcPr>
            <w:tcW w:w="127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38</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63.33</w:t>
            </w:r>
          </w:p>
        </w:tc>
      </w:tr>
      <w:tr w:rsidR="00C36189" w:rsidRPr="005C36F5" w:rsidTr="00EA6A09">
        <w:trPr>
          <w:trHeight w:val="266"/>
        </w:trPr>
        <w:tc>
          <w:tcPr>
            <w:tcW w:w="1966"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[400000, 600000)</w:t>
            </w:r>
          </w:p>
        </w:tc>
        <w:tc>
          <w:tcPr>
            <w:tcW w:w="127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15.00</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47</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78.33</w:t>
            </w:r>
          </w:p>
        </w:tc>
      </w:tr>
      <w:tr w:rsidR="00C36189" w:rsidRPr="005C36F5" w:rsidTr="00EA6A09">
        <w:trPr>
          <w:trHeight w:val="266"/>
        </w:trPr>
        <w:tc>
          <w:tcPr>
            <w:tcW w:w="1966"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[600000, 800000)</w:t>
            </w:r>
          </w:p>
        </w:tc>
        <w:tc>
          <w:tcPr>
            <w:tcW w:w="127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20.00</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59</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98.33</w:t>
            </w:r>
          </w:p>
        </w:tc>
      </w:tr>
      <w:tr w:rsidR="00C36189" w:rsidRPr="005C36F5" w:rsidTr="00EA6A09">
        <w:trPr>
          <w:trHeight w:val="266"/>
        </w:trPr>
        <w:tc>
          <w:tcPr>
            <w:tcW w:w="1966"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[800000, 1000000)</w:t>
            </w:r>
          </w:p>
        </w:tc>
        <w:tc>
          <w:tcPr>
            <w:tcW w:w="127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1.67</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r>
      <w:tr w:rsidR="00C36189" w:rsidRPr="005C36F5" w:rsidTr="00EA6A09">
        <w:trPr>
          <w:trHeight w:val="266"/>
        </w:trPr>
        <w:tc>
          <w:tcPr>
            <w:tcW w:w="1966"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Total</w:t>
            </w:r>
          </w:p>
        </w:tc>
        <w:tc>
          <w:tcPr>
            <w:tcW w:w="127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r>
    </w:tbl>
    <w:p w:rsidR="00C36189" w:rsidRPr="005C36F5" w:rsidRDefault="00C36189" w:rsidP="00EA6A09">
      <w:pPr>
        <w:autoSpaceDE w:val="0"/>
        <w:autoSpaceDN w:val="0"/>
        <w:adjustRightInd w:val="0"/>
        <w:spacing w:after="0" w:line="240" w:lineRule="auto"/>
        <w:ind w:left="1440"/>
        <w:jc w:val="both"/>
        <w:rPr>
          <w:rFonts w:ascii="Times New Roman" w:hAnsi="Times New Roman" w:cs="Times New Roman"/>
          <w:sz w:val="24"/>
          <w:szCs w:val="24"/>
        </w:rPr>
      </w:pPr>
    </w:p>
    <w:p w:rsidR="00C36189" w:rsidRPr="005C36F5" w:rsidRDefault="004C5C13" w:rsidP="00EA6A09">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Table II</w:t>
      </w:r>
      <w:r w:rsidR="00BE3D26" w:rsidRPr="005C36F5">
        <w:rPr>
          <w:rFonts w:ascii="Times New Roman" w:hAnsi="Times New Roman" w:cs="Times New Roman"/>
          <w:sz w:val="24"/>
          <w:szCs w:val="24"/>
        </w:rPr>
        <w:t xml:space="preserve"> </w:t>
      </w:r>
      <w:r w:rsidRPr="005C36F5">
        <w:rPr>
          <w:rFonts w:ascii="Times New Roman" w:hAnsi="Times New Roman" w:cs="Times New Roman"/>
          <w:sz w:val="24"/>
          <w:szCs w:val="24"/>
        </w:rPr>
        <w:t>demonstrated</w:t>
      </w:r>
      <w:r w:rsidR="002B270E" w:rsidRPr="005C36F5">
        <w:rPr>
          <w:rFonts w:ascii="Times New Roman" w:hAnsi="Times New Roman" w:cs="Times New Roman"/>
          <w:sz w:val="24"/>
          <w:szCs w:val="24"/>
        </w:rPr>
        <w:t xml:space="preserve"> the distribution of trade shares </w:t>
      </w:r>
      <w:r w:rsidR="00BE3D26" w:rsidRPr="005C36F5">
        <w:rPr>
          <w:rFonts w:ascii="Times New Roman" w:hAnsi="Times New Roman" w:cs="Times New Roman"/>
          <w:sz w:val="24"/>
          <w:szCs w:val="24"/>
        </w:rPr>
        <w:t>(export plus import) of Pakistan with its trade partner. Among 60 major trade partners 32 that comprises of 53.3 % are trading only up to 20 million. Whereas 12 partners that comprises of 20 % are trading up to 60 to 80 million. Other partners are between these two ranges.</w:t>
      </w:r>
    </w:p>
    <w:p w:rsidR="00EA6A09" w:rsidRDefault="00EA6A09" w:rsidP="00EA6A09">
      <w:pPr>
        <w:autoSpaceDE w:val="0"/>
        <w:autoSpaceDN w:val="0"/>
        <w:adjustRightInd w:val="0"/>
        <w:spacing w:after="0" w:line="240" w:lineRule="auto"/>
        <w:ind w:left="1440"/>
        <w:jc w:val="both"/>
        <w:rPr>
          <w:rFonts w:ascii="Times New Roman" w:hAnsi="Times New Roman" w:cs="Times New Roman"/>
          <w:sz w:val="24"/>
          <w:szCs w:val="24"/>
        </w:rPr>
      </w:pPr>
    </w:p>
    <w:p w:rsidR="00C36189" w:rsidRDefault="00BE3D26" w:rsidP="00EA6A09">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 xml:space="preserve">Distribution of Trade </w:t>
      </w:r>
      <w:r w:rsidR="00E924BB" w:rsidRPr="005C36F5">
        <w:rPr>
          <w:rFonts w:ascii="Times New Roman" w:hAnsi="Times New Roman" w:cs="Times New Roman"/>
          <w:sz w:val="24"/>
          <w:szCs w:val="24"/>
        </w:rPr>
        <w:t>Partners</w:t>
      </w:r>
      <w:r w:rsidRPr="005C36F5">
        <w:rPr>
          <w:rFonts w:ascii="Times New Roman" w:hAnsi="Times New Roman" w:cs="Times New Roman"/>
          <w:sz w:val="24"/>
          <w:szCs w:val="24"/>
        </w:rPr>
        <w:t xml:space="preserve"> of Pakistan in reference to the distance is shown in Table 1.2. If we ignore the negative sign than values in the table illustrating that most of the Partners (comprises of 53.3%) have the distance from 2000 to 4000 miles from Pakistan. whereas,23.3 percent has the minimum distance that is up to 2000 miles.</w:t>
      </w:r>
    </w:p>
    <w:p w:rsidR="00EA6A09" w:rsidRPr="005C36F5" w:rsidRDefault="00EA6A09" w:rsidP="00EA6A09">
      <w:pPr>
        <w:autoSpaceDE w:val="0"/>
        <w:autoSpaceDN w:val="0"/>
        <w:adjustRightInd w:val="0"/>
        <w:spacing w:after="0" w:line="240" w:lineRule="auto"/>
        <w:ind w:left="1440"/>
        <w:jc w:val="both"/>
        <w:rPr>
          <w:rFonts w:ascii="Times New Roman" w:hAnsi="Times New Roman" w:cs="Times New Roman"/>
          <w:sz w:val="24"/>
          <w:szCs w:val="24"/>
        </w:rPr>
      </w:pPr>
    </w:p>
    <w:p w:rsidR="00C36189" w:rsidRDefault="002B270E" w:rsidP="00EA6A09">
      <w:pPr>
        <w:spacing w:after="0" w:line="240" w:lineRule="auto"/>
        <w:ind w:left="1440"/>
        <w:jc w:val="both"/>
        <w:rPr>
          <w:rFonts w:ascii="Times New Roman" w:eastAsia="Times New Roman" w:hAnsi="Times New Roman" w:cs="Times New Roman"/>
          <w:color w:val="000000"/>
          <w:sz w:val="24"/>
          <w:szCs w:val="24"/>
        </w:rPr>
      </w:pPr>
      <w:r w:rsidRPr="005C36F5">
        <w:rPr>
          <w:rFonts w:ascii="Times New Roman" w:eastAsia="Times New Roman" w:hAnsi="Times New Roman" w:cs="Times New Roman"/>
          <w:b/>
          <w:color w:val="000000"/>
          <w:sz w:val="24"/>
          <w:szCs w:val="24"/>
        </w:rPr>
        <w:t>Table III</w:t>
      </w:r>
      <w:r w:rsidR="00EA6A09">
        <w:rPr>
          <w:rFonts w:ascii="Times New Roman" w:eastAsia="Times New Roman" w:hAnsi="Times New Roman" w:cs="Times New Roman"/>
          <w:b/>
          <w:color w:val="000000"/>
          <w:sz w:val="24"/>
          <w:szCs w:val="24"/>
        </w:rPr>
        <w:t xml:space="preserve"> </w:t>
      </w:r>
      <w:r w:rsidR="00BE3D26" w:rsidRPr="00EA6A09">
        <w:rPr>
          <w:rFonts w:ascii="Times New Roman" w:eastAsia="Times New Roman" w:hAnsi="Times New Roman" w:cs="Times New Roman"/>
          <w:color w:val="000000"/>
          <w:sz w:val="24"/>
          <w:szCs w:val="24"/>
        </w:rPr>
        <w:t>Distribution of Distance between Trade Partners and Pakistan</w:t>
      </w:r>
    </w:p>
    <w:p w:rsidR="00EA6A09" w:rsidRPr="00EA6A09" w:rsidRDefault="00EA6A09" w:rsidP="00EA6A09">
      <w:pPr>
        <w:spacing w:after="0" w:line="240" w:lineRule="auto"/>
        <w:ind w:left="1440"/>
        <w:jc w:val="both"/>
        <w:rPr>
          <w:rFonts w:ascii="Times New Roman" w:eastAsia="Times New Roman" w:hAnsi="Times New Roman" w:cs="Times New Roman"/>
          <w:b/>
          <w:color w:val="000000"/>
          <w:sz w:val="24"/>
          <w:szCs w:val="24"/>
        </w:rPr>
      </w:pPr>
    </w:p>
    <w:tbl>
      <w:tblPr>
        <w:tblStyle w:val="TableGrid"/>
        <w:tblW w:w="7650" w:type="dxa"/>
        <w:tblInd w:w="1548" w:type="dxa"/>
        <w:tblLayout w:type="fixed"/>
        <w:tblLook w:val="04A0" w:firstRow="1" w:lastRow="0" w:firstColumn="1" w:lastColumn="0" w:noHBand="0" w:noVBand="1"/>
      </w:tblPr>
      <w:tblGrid>
        <w:gridCol w:w="1900"/>
        <w:gridCol w:w="1587"/>
        <w:gridCol w:w="1013"/>
        <w:gridCol w:w="1440"/>
        <w:gridCol w:w="1710"/>
      </w:tblGrid>
      <w:tr w:rsidR="00C36189" w:rsidRPr="005C36F5" w:rsidTr="00EA6A09">
        <w:trPr>
          <w:trHeight w:val="278"/>
        </w:trPr>
        <w:tc>
          <w:tcPr>
            <w:tcW w:w="1900" w:type="dxa"/>
          </w:tcPr>
          <w:p w:rsidR="00C36189" w:rsidRPr="005C36F5" w:rsidRDefault="00C36189" w:rsidP="005C36F5">
            <w:pPr>
              <w:jc w:val="both"/>
              <w:rPr>
                <w:rFonts w:ascii="Times New Roman" w:hAnsi="Times New Roman" w:cs="Times New Roman"/>
                <w:color w:val="000000"/>
                <w:sz w:val="24"/>
                <w:szCs w:val="24"/>
              </w:rPr>
            </w:pPr>
          </w:p>
        </w:tc>
        <w:tc>
          <w:tcPr>
            <w:tcW w:w="1587"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1013"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144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Cumulative</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Cumulative</w:t>
            </w:r>
          </w:p>
        </w:tc>
      </w:tr>
      <w:tr w:rsidR="00C36189" w:rsidRPr="005C36F5" w:rsidTr="00EA6A09">
        <w:trPr>
          <w:trHeight w:val="278"/>
        </w:trPr>
        <w:tc>
          <w:tcPr>
            <w:tcW w:w="190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Value</w:t>
            </w:r>
          </w:p>
        </w:tc>
        <w:tc>
          <w:tcPr>
            <w:tcW w:w="1587"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Count</w:t>
            </w:r>
          </w:p>
        </w:tc>
        <w:tc>
          <w:tcPr>
            <w:tcW w:w="1013"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Percent</w:t>
            </w:r>
          </w:p>
        </w:tc>
        <w:tc>
          <w:tcPr>
            <w:tcW w:w="144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Count</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Percent</w:t>
            </w:r>
          </w:p>
        </w:tc>
      </w:tr>
      <w:tr w:rsidR="00C36189" w:rsidRPr="005C36F5" w:rsidTr="00EA6A09">
        <w:trPr>
          <w:trHeight w:val="278"/>
        </w:trPr>
        <w:tc>
          <w:tcPr>
            <w:tcW w:w="190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 -8000)</w:t>
            </w:r>
          </w:p>
        </w:tc>
        <w:tc>
          <w:tcPr>
            <w:tcW w:w="1587"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w:t>
            </w:r>
          </w:p>
        </w:tc>
        <w:tc>
          <w:tcPr>
            <w:tcW w:w="1013"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5.00</w:t>
            </w:r>
          </w:p>
        </w:tc>
        <w:tc>
          <w:tcPr>
            <w:tcW w:w="144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5.00</w:t>
            </w:r>
          </w:p>
        </w:tc>
      </w:tr>
      <w:tr w:rsidR="00C36189" w:rsidRPr="005C36F5" w:rsidTr="00EA6A09">
        <w:trPr>
          <w:trHeight w:val="278"/>
        </w:trPr>
        <w:tc>
          <w:tcPr>
            <w:tcW w:w="190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[-8000, -6000)</w:t>
            </w:r>
          </w:p>
        </w:tc>
        <w:tc>
          <w:tcPr>
            <w:tcW w:w="1587"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w:t>
            </w:r>
          </w:p>
        </w:tc>
        <w:tc>
          <w:tcPr>
            <w:tcW w:w="1013"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3.33</w:t>
            </w:r>
          </w:p>
        </w:tc>
        <w:tc>
          <w:tcPr>
            <w:tcW w:w="144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8.33</w:t>
            </w:r>
          </w:p>
        </w:tc>
      </w:tr>
      <w:tr w:rsidR="00C36189" w:rsidRPr="005C36F5" w:rsidTr="00EA6A09">
        <w:trPr>
          <w:trHeight w:val="278"/>
        </w:trPr>
        <w:tc>
          <w:tcPr>
            <w:tcW w:w="190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[-6000, -4000)</w:t>
            </w:r>
          </w:p>
        </w:tc>
        <w:tc>
          <w:tcPr>
            <w:tcW w:w="1587"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w:t>
            </w:r>
          </w:p>
        </w:tc>
        <w:tc>
          <w:tcPr>
            <w:tcW w:w="1013"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15.00</w:t>
            </w:r>
          </w:p>
        </w:tc>
        <w:tc>
          <w:tcPr>
            <w:tcW w:w="144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14</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23.33</w:t>
            </w:r>
          </w:p>
        </w:tc>
      </w:tr>
      <w:tr w:rsidR="00C36189" w:rsidRPr="005C36F5" w:rsidTr="00EA6A09">
        <w:trPr>
          <w:trHeight w:val="278"/>
        </w:trPr>
        <w:tc>
          <w:tcPr>
            <w:tcW w:w="190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[-4000, -2000)</w:t>
            </w:r>
          </w:p>
        </w:tc>
        <w:tc>
          <w:tcPr>
            <w:tcW w:w="1587"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32</w:t>
            </w:r>
          </w:p>
        </w:tc>
        <w:tc>
          <w:tcPr>
            <w:tcW w:w="1013"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53.33</w:t>
            </w:r>
          </w:p>
        </w:tc>
        <w:tc>
          <w:tcPr>
            <w:tcW w:w="144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46</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76.67</w:t>
            </w:r>
          </w:p>
        </w:tc>
      </w:tr>
      <w:tr w:rsidR="00C36189" w:rsidRPr="005C36F5" w:rsidTr="00EA6A09">
        <w:trPr>
          <w:trHeight w:val="278"/>
        </w:trPr>
        <w:tc>
          <w:tcPr>
            <w:tcW w:w="190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[-2000, 0)</w:t>
            </w:r>
          </w:p>
        </w:tc>
        <w:tc>
          <w:tcPr>
            <w:tcW w:w="1587"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14</w:t>
            </w:r>
          </w:p>
        </w:tc>
        <w:tc>
          <w:tcPr>
            <w:tcW w:w="1013"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23.33</w:t>
            </w:r>
          </w:p>
        </w:tc>
        <w:tc>
          <w:tcPr>
            <w:tcW w:w="144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r>
      <w:tr w:rsidR="00C36189" w:rsidRPr="005C36F5" w:rsidTr="00EA6A09">
        <w:trPr>
          <w:trHeight w:val="278"/>
        </w:trPr>
        <w:tc>
          <w:tcPr>
            <w:tcW w:w="190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Total</w:t>
            </w:r>
          </w:p>
        </w:tc>
        <w:tc>
          <w:tcPr>
            <w:tcW w:w="1587"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013"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c>
          <w:tcPr>
            <w:tcW w:w="144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r>
    </w:tbl>
    <w:p w:rsidR="00EA6A09" w:rsidRDefault="00EA6A09" w:rsidP="00EA6A09">
      <w:pPr>
        <w:autoSpaceDE w:val="0"/>
        <w:autoSpaceDN w:val="0"/>
        <w:adjustRightInd w:val="0"/>
        <w:spacing w:after="0" w:line="240" w:lineRule="auto"/>
        <w:ind w:left="1440"/>
        <w:jc w:val="both"/>
        <w:rPr>
          <w:rFonts w:ascii="Times New Roman" w:hAnsi="Times New Roman" w:cs="Times New Roman"/>
          <w:sz w:val="24"/>
          <w:szCs w:val="24"/>
        </w:rPr>
      </w:pPr>
    </w:p>
    <w:p w:rsidR="00C36189" w:rsidRDefault="00BE3D26" w:rsidP="00EA6A09">
      <w:pPr>
        <w:autoSpaceDE w:val="0"/>
        <w:autoSpaceDN w:val="0"/>
        <w:adjustRightInd w:val="0"/>
        <w:spacing w:after="0" w:line="240" w:lineRule="auto"/>
        <w:ind w:left="1440"/>
        <w:jc w:val="both"/>
        <w:rPr>
          <w:rFonts w:ascii="Times New Roman" w:eastAsia="Times New Roman" w:hAnsi="Times New Roman" w:cs="Times New Roman"/>
          <w:color w:val="000000"/>
          <w:sz w:val="24"/>
          <w:szCs w:val="24"/>
        </w:rPr>
      </w:pPr>
      <w:r w:rsidRPr="005C36F5">
        <w:rPr>
          <w:rFonts w:ascii="Times New Roman" w:hAnsi="Times New Roman" w:cs="Times New Roman"/>
          <w:sz w:val="24"/>
          <w:szCs w:val="24"/>
        </w:rPr>
        <w:t>Negative sign is taken to show the impediment of trade, depicting a negative relationship between trade flows and distance between countries. More the distance less will be the bilateral trade flows</w:t>
      </w:r>
      <w:r w:rsidRPr="005C36F5">
        <w:rPr>
          <w:rFonts w:ascii="Times New Roman" w:eastAsia="Times New Roman" w:hAnsi="Times New Roman" w:cs="Times New Roman"/>
          <w:color w:val="000000"/>
          <w:sz w:val="24"/>
          <w:szCs w:val="24"/>
        </w:rPr>
        <w:t>.</w:t>
      </w:r>
    </w:p>
    <w:p w:rsidR="00EA6A09" w:rsidRPr="00314B44" w:rsidRDefault="00EA6A09" w:rsidP="00853535">
      <w:pPr>
        <w:autoSpaceDE w:val="0"/>
        <w:autoSpaceDN w:val="0"/>
        <w:adjustRightInd w:val="0"/>
        <w:spacing w:after="0" w:line="240" w:lineRule="auto"/>
        <w:ind w:left="5760"/>
        <w:jc w:val="both"/>
        <w:rPr>
          <w:rFonts w:ascii="Times New Roman" w:eastAsia="Times New Roman" w:hAnsi="Times New Roman" w:cs="Times New Roman"/>
          <w:color w:val="000000"/>
          <w:sz w:val="16"/>
          <w:szCs w:val="16"/>
        </w:rPr>
      </w:pPr>
    </w:p>
    <w:p w:rsidR="00C36189" w:rsidRDefault="002B270E" w:rsidP="00853535">
      <w:pPr>
        <w:autoSpaceDE w:val="0"/>
        <w:autoSpaceDN w:val="0"/>
        <w:adjustRightInd w:val="0"/>
        <w:spacing w:after="0" w:line="240" w:lineRule="auto"/>
        <w:ind w:left="1440"/>
        <w:jc w:val="both"/>
        <w:rPr>
          <w:rFonts w:ascii="Times New Roman" w:eastAsia="Times New Roman" w:hAnsi="Times New Roman" w:cs="Times New Roman"/>
          <w:color w:val="000000"/>
          <w:sz w:val="24"/>
          <w:szCs w:val="24"/>
        </w:rPr>
      </w:pPr>
      <w:r w:rsidRPr="005C36F5">
        <w:rPr>
          <w:rFonts w:ascii="Times New Roman" w:eastAsia="Times New Roman" w:hAnsi="Times New Roman" w:cs="Times New Roman"/>
          <w:b/>
          <w:color w:val="000000"/>
          <w:sz w:val="24"/>
          <w:szCs w:val="24"/>
        </w:rPr>
        <w:t xml:space="preserve">Table </w:t>
      </w:r>
      <w:r w:rsidR="00084802" w:rsidRPr="00084802">
        <w:rPr>
          <w:rFonts w:ascii="Times New Roman" w:eastAsia="Times New Roman" w:hAnsi="Times New Roman" w:cs="Times New Roman"/>
          <w:b/>
          <w:sz w:val="24"/>
          <w:szCs w:val="24"/>
        </w:rPr>
        <w:t>–</w:t>
      </w:r>
      <w:r w:rsidRPr="00084802">
        <w:rPr>
          <w:rFonts w:ascii="Times New Roman" w:eastAsia="Times New Roman" w:hAnsi="Times New Roman" w:cs="Times New Roman"/>
          <w:b/>
          <w:sz w:val="24"/>
          <w:szCs w:val="24"/>
        </w:rPr>
        <w:t xml:space="preserve"> IV</w:t>
      </w:r>
      <w:r w:rsidR="00084802">
        <w:rPr>
          <w:rFonts w:ascii="Times New Roman" w:eastAsia="Times New Roman" w:hAnsi="Times New Roman" w:cs="Times New Roman"/>
          <w:color w:val="000000"/>
          <w:sz w:val="24"/>
          <w:szCs w:val="24"/>
        </w:rPr>
        <w:t xml:space="preserve">. </w:t>
      </w:r>
      <w:r w:rsidR="00BE3D26" w:rsidRPr="00EA6A09">
        <w:rPr>
          <w:rFonts w:ascii="Times New Roman" w:eastAsia="Times New Roman" w:hAnsi="Times New Roman" w:cs="Times New Roman"/>
          <w:color w:val="000000"/>
          <w:sz w:val="24"/>
          <w:szCs w:val="24"/>
        </w:rPr>
        <w:t xml:space="preserve">Distribution of GDP &amp; Per Capita GDP of Trade </w:t>
      </w:r>
      <w:r w:rsidR="00E924BB" w:rsidRPr="00EA6A09">
        <w:rPr>
          <w:rFonts w:ascii="Times New Roman" w:eastAsia="Times New Roman" w:hAnsi="Times New Roman" w:cs="Times New Roman"/>
          <w:color w:val="000000"/>
          <w:sz w:val="24"/>
          <w:szCs w:val="24"/>
        </w:rPr>
        <w:t>Partners</w:t>
      </w:r>
      <w:r w:rsidR="00BE3D26" w:rsidRPr="00EA6A09">
        <w:rPr>
          <w:rFonts w:ascii="Times New Roman" w:eastAsia="Times New Roman" w:hAnsi="Times New Roman" w:cs="Times New Roman"/>
          <w:color w:val="000000"/>
          <w:sz w:val="24"/>
          <w:szCs w:val="24"/>
        </w:rPr>
        <w:t xml:space="preserve"> of Pakistan</w:t>
      </w:r>
    </w:p>
    <w:p w:rsidR="00853535" w:rsidRPr="00314B44" w:rsidRDefault="00853535" w:rsidP="00853535">
      <w:pPr>
        <w:autoSpaceDE w:val="0"/>
        <w:autoSpaceDN w:val="0"/>
        <w:adjustRightInd w:val="0"/>
        <w:spacing w:after="0" w:line="240" w:lineRule="auto"/>
        <w:ind w:left="1440"/>
        <w:jc w:val="both"/>
        <w:rPr>
          <w:rFonts w:ascii="Times New Roman" w:eastAsia="Times New Roman" w:hAnsi="Times New Roman" w:cs="Times New Roman"/>
          <w:color w:val="000000"/>
          <w:sz w:val="16"/>
          <w:szCs w:val="16"/>
        </w:rPr>
      </w:pPr>
    </w:p>
    <w:tbl>
      <w:tblPr>
        <w:tblStyle w:val="TableGrid"/>
        <w:tblpPr w:leftFromText="180" w:rightFromText="180" w:vertAnchor="text" w:horzAnchor="page" w:tblpXSpec="center" w:tblpY="85"/>
        <w:tblW w:w="0" w:type="auto"/>
        <w:tblLayout w:type="fixed"/>
        <w:tblLook w:val="04A0" w:firstRow="1" w:lastRow="0" w:firstColumn="1" w:lastColumn="0" w:noHBand="0" w:noVBand="1"/>
      </w:tblPr>
      <w:tblGrid>
        <w:gridCol w:w="3865"/>
        <w:gridCol w:w="905"/>
        <w:gridCol w:w="1255"/>
      </w:tblGrid>
      <w:tr w:rsidR="00C36189" w:rsidRPr="005C36F5" w:rsidTr="00314B44">
        <w:trPr>
          <w:trHeight w:val="225"/>
        </w:trPr>
        <w:tc>
          <w:tcPr>
            <w:tcW w:w="386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Per Capita GDP</w:t>
            </w:r>
          </w:p>
        </w:tc>
        <w:tc>
          <w:tcPr>
            <w:tcW w:w="90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Count</w:t>
            </w:r>
          </w:p>
        </w:tc>
        <w:tc>
          <w:tcPr>
            <w:tcW w:w="125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Percent</w:t>
            </w:r>
          </w:p>
        </w:tc>
      </w:tr>
      <w:tr w:rsidR="00C36189" w:rsidRPr="005C36F5" w:rsidTr="00314B44">
        <w:trPr>
          <w:trHeight w:val="225"/>
        </w:trPr>
        <w:tc>
          <w:tcPr>
            <w:tcW w:w="386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[0, 20000)</w:t>
            </w:r>
          </w:p>
        </w:tc>
        <w:tc>
          <w:tcPr>
            <w:tcW w:w="90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33</w:t>
            </w:r>
          </w:p>
        </w:tc>
        <w:tc>
          <w:tcPr>
            <w:tcW w:w="125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55.00</w:t>
            </w:r>
          </w:p>
        </w:tc>
      </w:tr>
      <w:tr w:rsidR="00C36189" w:rsidRPr="005C36F5" w:rsidTr="00314B44">
        <w:trPr>
          <w:trHeight w:val="225"/>
        </w:trPr>
        <w:tc>
          <w:tcPr>
            <w:tcW w:w="386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[20000, 40000)</w:t>
            </w:r>
          </w:p>
        </w:tc>
        <w:tc>
          <w:tcPr>
            <w:tcW w:w="90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w:t>
            </w:r>
          </w:p>
        </w:tc>
        <w:tc>
          <w:tcPr>
            <w:tcW w:w="125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18.33</w:t>
            </w:r>
          </w:p>
        </w:tc>
      </w:tr>
      <w:tr w:rsidR="00C36189" w:rsidRPr="005C36F5" w:rsidTr="00314B44">
        <w:trPr>
          <w:trHeight w:val="225"/>
        </w:trPr>
        <w:tc>
          <w:tcPr>
            <w:tcW w:w="386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[40000, 60000)</w:t>
            </w:r>
          </w:p>
        </w:tc>
        <w:tc>
          <w:tcPr>
            <w:tcW w:w="90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w:t>
            </w:r>
          </w:p>
        </w:tc>
        <w:tc>
          <w:tcPr>
            <w:tcW w:w="125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18.33</w:t>
            </w:r>
          </w:p>
        </w:tc>
      </w:tr>
      <w:tr w:rsidR="00C36189" w:rsidRPr="005C36F5" w:rsidTr="00314B44">
        <w:trPr>
          <w:trHeight w:val="225"/>
        </w:trPr>
        <w:tc>
          <w:tcPr>
            <w:tcW w:w="386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[60000, 80000)</w:t>
            </w:r>
          </w:p>
        </w:tc>
        <w:tc>
          <w:tcPr>
            <w:tcW w:w="90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4</w:t>
            </w:r>
          </w:p>
        </w:tc>
        <w:tc>
          <w:tcPr>
            <w:tcW w:w="125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6.67</w:t>
            </w:r>
          </w:p>
        </w:tc>
      </w:tr>
      <w:tr w:rsidR="00C36189" w:rsidRPr="005C36F5" w:rsidTr="00314B44">
        <w:trPr>
          <w:trHeight w:val="225"/>
        </w:trPr>
        <w:tc>
          <w:tcPr>
            <w:tcW w:w="386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[80000, 100000)</w:t>
            </w:r>
          </w:p>
        </w:tc>
        <w:tc>
          <w:tcPr>
            <w:tcW w:w="90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w:t>
            </w:r>
          </w:p>
        </w:tc>
        <w:tc>
          <w:tcPr>
            <w:tcW w:w="125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1.67</w:t>
            </w:r>
          </w:p>
        </w:tc>
      </w:tr>
      <w:tr w:rsidR="00C36189" w:rsidRPr="005C36F5" w:rsidTr="00314B44">
        <w:trPr>
          <w:trHeight w:val="225"/>
        </w:trPr>
        <w:tc>
          <w:tcPr>
            <w:tcW w:w="386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Total</w:t>
            </w:r>
          </w:p>
        </w:tc>
        <w:tc>
          <w:tcPr>
            <w:tcW w:w="90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255"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r>
    </w:tbl>
    <w:p w:rsidR="00EA6A09" w:rsidRDefault="00EA6A09" w:rsidP="00EA6A09">
      <w:pPr>
        <w:autoSpaceDE w:val="0"/>
        <w:autoSpaceDN w:val="0"/>
        <w:adjustRightInd w:val="0"/>
        <w:spacing w:after="0" w:line="240" w:lineRule="auto"/>
        <w:ind w:left="1440"/>
        <w:jc w:val="both"/>
        <w:rPr>
          <w:rFonts w:ascii="Times New Roman" w:hAnsi="Times New Roman" w:cs="Times New Roman"/>
          <w:sz w:val="24"/>
          <w:szCs w:val="24"/>
        </w:rPr>
      </w:pPr>
    </w:p>
    <w:p w:rsidR="00E924BB" w:rsidRDefault="00E924BB" w:rsidP="00EA6A09">
      <w:pPr>
        <w:autoSpaceDE w:val="0"/>
        <w:autoSpaceDN w:val="0"/>
        <w:adjustRightInd w:val="0"/>
        <w:spacing w:after="0" w:line="240" w:lineRule="auto"/>
        <w:ind w:left="1440"/>
        <w:jc w:val="both"/>
        <w:rPr>
          <w:rFonts w:ascii="Times New Roman" w:hAnsi="Times New Roman" w:cs="Times New Roman"/>
          <w:sz w:val="24"/>
          <w:szCs w:val="24"/>
        </w:rPr>
      </w:pPr>
    </w:p>
    <w:p w:rsidR="00E924BB" w:rsidRDefault="00E924BB" w:rsidP="00EA6A09">
      <w:pPr>
        <w:autoSpaceDE w:val="0"/>
        <w:autoSpaceDN w:val="0"/>
        <w:adjustRightInd w:val="0"/>
        <w:spacing w:after="0" w:line="240" w:lineRule="auto"/>
        <w:ind w:left="1440"/>
        <w:jc w:val="both"/>
        <w:rPr>
          <w:rFonts w:ascii="Times New Roman" w:hAnsi="Times New Roman" w:cs="Times New Roman"/>
          <w:sz w:val="24"/>
          <w:szCs w:val="24"/>
        </w:rPr>
      </w:pPr>
    </w:p>
    <w:p w:rsidR="00E924BB" w:rsidRDefault="00E924BB" w:rsidP="00EA6A09">
      <w:pPr>
        <w:autoSpaceDE w:val="0"/>
        <w:autoSpaceDN w:val="0"/>
        <w:adjustRightInd w:val="0"/>
        <w:spacing w:after="0" w:line="240" w:lineRule="auto"/>
        <w:ind w:left="1440"/>
        <w:jc w:val="both"/>
        <w:rPr>
          <w:rFonts w:ascii="Times New Roman" w:hAnsi="Times New Roman" w:cs="Times New Roman"/>
          <w:sz w:val="24"/>
          <w:szCs w:val="24"/>
        </w:rPr>
      </w:pPr>
    </w:p>
    <w:p w:rsidR="00E924BB" w:rsidRDefault="00E924BB" w:rsidP="00EA6A09">
      <w:pPr>
        <w:autoSpaceDE w:val="0"/>
        <w:autoSpaceDN w:val="0"/>
        <w:adjustRightInd w:val="0"/>
        <w:spacing w:after="0" w:line="240" w:lineRule="auto"/>
        <w:ind w:left="1440"/>
        <w:jc w:val="both"/>
        <w:rPr>
          <w:rFonts w:ascii="Times New Roman" w:hAnsi="Times New Roman" w:cs="Times New Roman"/>
          <w:sz w:val="24"/>
          <w:szCs w:val="24"/>
        </w:rPr>
      </w:pPr>
    </w:p>
    <w:p w:rsidR="00E924BB" w:rsidRDefault="00E924BB" w:rsidP="00EA6A09">
      <w:pPr>
        <w:autoSpaceDE w:val="0"/>
        <w:autoSpaceDN w:val="0"/>
        <w:adjustRightInd w:val="0"/>
        <w:spacing w:after="0" w:line="240" w:lineRule="auto"/>
        <w:ind w:left="1440"/>
        <w:jc w:val="both"/>
        <w:rPr>
          <w:rFonts w:ascii="Times New Roman" w:hAnsi="Times New Roman" w:cs="Times New Roman"/>
          <w:sz w:val="24"/>
          <w:szCs w:val="24"/>
        </w:rPr>
      </w:pPr>
    </w:p>
    <w:p w:rsidR="00E924BB" w:rsidRDefault="00E924BB" w:rsidP="00EA6A09">
      <w:pPr>
        <w:autoSpaceDE w:val="0"/>
        <w:autoSpaceDN w:val="0"/>
        <w:adjustRightInd w:val="0"/>
        <w:spacing w:after="0" w:line="240" w:lineRule="auto"/>
        <w:ind w:left="1440"/>
        <w:jc w:val="both"/>
        <w:rPr>
          <w:rFonts w:ascii="Times New Roman" w:hAnsi="Times New Roman" w:cs="Times New Roman"/>
          <w:sz w:val="24"/>
          <w:szCs w:val="24"/>
        </w:rPr>
      </w:pPr>
    </w:p>
    <w:p w:rsidR="00E924BB" w:rsidRDefault="00E924BB" w:rsidP="00EA6A09">
      <w:pPr>
        <w:autoSpaceDE w:val="0"/>
        <w:autoSpaceDN w:val="0"/>
        <w:adjustRightInd w:val="0"/>
        <w:spacing w:after="0" w:line="240" w:lineRule="auto"/>
        <w:ind w:left="1440"/>
        <w:jc w:val="both"/>
        <w:rPr>
          <w:rFonts w:ascii="Times New Roman" w:hAnsi="Times New Roman" w:cs="Times New Roman"/>
          <w:sz w:val="24"/>
          <w:szCs w:val="24"/>
        </w:rPr>
      </w:pPr>
    </w:p>
    <w:p w:rsidR="00C36189" w:rsidRPr="005C36F5" w:rsidRDefault="002B270E" w:rsidP="00EA6A09">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t>Table-IV</w:t>
      </w:r>
      <w:r w:rsidR="00BE3D26" w:rsidRPr="005C36F5">
        <w:rPr>
          <w:rFonts w:ascii="Times New Roman" w:hAnsi="Times New Roman" w:cs="Times New Roman"/>
          <w:sz w:val="24"/>
          <w:szCs w:val="24"/>
        </w:rPr>
        <w:t xml:space="preserve"> represents the distribution of GDP and Per </w:t>
      </w:r>
      <w:r w:rsidR="00E924BB">
        <w:rPr>
          <w:rFonts w:ascii="Times New Roman" w:hAnsi="Times New Roman" w:cs="Times New Roman"/>
          <w:sz w:val="24"/>
          <w:szCs w:val="24"/>
        </w:rPr>
        <w:t>Capita GDP of Partner countries</w:t>
      </w:r>
      <w:r w:rsidR="00BE3D26" w:rsidRPr="005C36F5">
        <w:rPr>
          <w:rFonts w:ascii="Times New Roman" w:hAnsi="Times New Roman" w:cs="Times New Roman"/>
          <w:sz w:val="24"/>
          <w:szCs w:val="24"/>
        </w:rPr>
        <w:t>.</w:t>
      </w:r>
      <w:r w:rsidR="00E924BB">
        <w:rPr>
          <w:rFonts w:ascii="Times New Roman" w:hAnsi="Times New Roman" w:cs="Times New Roman"/>
          <w:sz w:val="24"/>
          <w:szCs w:val="24"/>
        </w:rPr>
        <w:t xml:space="preserve"> </w:t>
      </w:r>
      <w:r w:rsidR="00BE3D26" w:rsidRPr="005C36F5">
        <w:rPr>
          <w:rFonts w:ascii="Times New Roman" w:hAnsi="Times New Roman" w:cs="Times New Roman"/>
          <w:sz w:val="24"/>
          <w:szCs w:val="24"/>
        </w:rPr>
        <w:t>GDP distribution shows that Major trade partner of Pakistan (95%) has the GDP up to 5 trillion whereas the countries with highest GDP are only 5%.</w:t>
      </w:r>
      <w:r w:rsidR="00423D48">
        <w:rPr>
          <w:rFonts w:ascii="Times New Roman" w:hAnsi="Times New Roman" w:cs="Times New Roman"/>
          <w:sz w:val="24"/>
          <w:szCs w:val="24"/>
        </w:rPr>
        <w:t xml:space="preserve"> </w:t>
      </w:r>
      <w:r w:rsidR="00BE3D26" w:rsidRPr="005C36F5">
        <w:rPr>
          <w:rFonts w:ascii="Times New Roman" w:hAnsi="Times New Roman" w:cs="Times New Roman"/>
          <w:sz w:val="24"/>
          <w:szCs w:val="24"/>
        </w:rPr>
        <w:t>Similary per capita GDP range for 95% trade partner is 20000 to 600000 where as rest of 5 % has more than 600000.</w:t>
      </w:r>
    </w:p>
    <w:p w:rsidR="00C36189" w:rsidRPr="00423D48" w:rsidRDefault="00C36189" w:rsidP="00865012">
      <w:pPr>
        <w:autoSpaceDE w:val="0"/>
        <w:autoSpaceDN w:val="0"/>
        <w:adjustRightInd w:val="0"/>
        <w:spacing w:after="0" w:line="240" w:lineRule="auto"/>
        <w:ind w:left="2880"/>
        <w:jc w:val="both"/>
        <w:rPr>
          <w:rFonts w:ascii="Times New Roman" w:hAnsi="Times New Roman" w:cs="Times New Roman"/>
          <w:sz w:val="16"/>
          <w:szCs w:val="16"/>
        </w:rPr>
      </w:pPr>
    </w:p>
    <w:p w:rsidR="00C36189" w:rsidRDefault="00BE3D26" w:rsidP="00865012">
      <w:pPr>
        <w:spacing w:after="0" w:line="240" w:lineRule="auto"/>
        <w:ind w:left="1440"/>
        <w:jc w:val="both"/>
        <w:rPr>
          <w:rFonts w:ascii="Times New Roman" w:eastAsia="Times New Roman" w:hAnsi="Times New Roman" w:cs="Times New Roman"/>
          <w:color w:val="000000"/>
          <w:sz w:val="24"/>
          <w:szCs w:val="24"/>
        </w:rPr>
      </w:pPr>
      <w:r w:rsidRPr="005C36F5">
        <w:rPr>
          <w:rFonts w:ascii="Times New Roman" w:hAnsi="Times New Roman" w:cs="Times New Roman"/>
          <w:b/>
          <w:sz w:val="24"/>
          <w:szCs w:val="24"/>
        </w:rPr>
        <w:t xml:space="preserve">Table </w:t>
      </w:r>
      <w:r w:rsidR="00B1367B" w:rsidRPr="005C36F5">
        <w:rPr>
          <w:rFonts w:ascii="Times New Roman" w:hAnsi="Times New Roman" w:cs="Times New Roman"/>
          <w:b/>
          <w:sz w:val="24"/>
          <w:szCs w:val="24"/>
        </w:rPr>
        <w:t>V</w:t>
      </w:r>
      <w:r w:rsidR="00EA6A09">
        <w:rPr>
          <w:rFonts w:ascii="Times New Roman" w:eastAsia="Times New Roman" w:hAnsi="Times New Roman" w:cs="Times New Roman"/>
          <w:b/>
          <w:color w:val="000000"/>
          <w:sz w:val="24"/>
          <w:szCs w:val="24"/>
        </w:rPr>
        <w:t xml:space="preserve"> </w:t>
      </w:r>
      <w:r w:rsidRPr="00EA6A09">
        <w:rPr>
          <w:rFonts w:ascii="Times New Roman" w:eastAsia="Times New Roman" w:hAnsi="Times New Roman" w:cs="Times New Roman"/>
          <w:color w:val="000000"/>
          <w:sz w:val="24"/>
          <w:szCs w:val="24"/>
        </w:rPr>
        <w:t xml:space="preserve">Distribution of Population of Trade </w:t>
      </w:r>
      <w:r w:rsidR="00423D48" w:rsidRPr="00EA6A09">
        <w:rPr>
          <w:rFonts w:ascii="Times New Roman" w:eastAsia="Times New Roman" w:hAnsi="Times New Roman" w:cs="Times New Roman"/>
          <w:color w:val="000000"/>
          <w:sz w:val="24"/>
          <w:szCs w:val="24"/>
        </w:rPr>
        <w:t>Partners</w:t>
      </w:r>
      <w:r w:rsidRPr="00EA6A09">
        <w:rPr>
          <w:rFonts w:ascii="Times New Roman" w:eastAsia="Times New Roman" w:hAnsi="Times New Roman" w:cs="Times New Roman"/>
          <w:color w:val="000000"/>
          <w:sz w:val="24"/>
          <w:szCs w:val="24"/>
        </w:rPr>
        <w:t xml:space="preserve"> of Pakistan</w:t>
      </w:r>
    </w:p>
    <w:p w:rsidR="00865012" w:rsidRPr="00314B44" w:rsidRDefault="00865012" w:rsidP="00865012">
      <w:pPr>
        <w:spacing w:after="0" w:line="240" w:lineRule="auto"/>
        <w:ind w:left="1440"/>
        <w:jc w:val="both"/>
        <w:rPr>
          <w:rFonts w:ascii="Times New Roman" w:eastAsia="Times New Roman" w:hAnsi="Times New Roman" w:cs="Times New Roman"/>
          <w:b/>
          <w:color w:val="000000"/>
          <w:sz w:val="16"/>
          <w:szCs w:val="16"/>
        </w:rPr>
      </w:pPr>
    </w:p>
    <w:tbl>
      <w:tblPr>
        <w:tblStyle w:val="TableGrid"/>
        <w:tblW w:w="7493" w:type="dxa"/>
        <w:tblInd w:w="1525" w:type="dxa"/>
        <w:tblLayout w:type="fixed"/>
        <w:tblLook w:val="04A0" w:firstRow="1" w:lastRow="0" w:firstColumn="1" w:lastColumn="0" w:noHBand="0" w:noVBand="1"/>
      </w:tblPr>
      <w:tblGrid>
        <w:gridCol w:w="2004"/>
        <w:gridCol w:w="1259"/>
        <w:gridCol w:w="990"/>
        <w:gridCol w:w="1530"/>
        <w:gridCol w:w="1710"/>
      </w:tblGrid>
      <w:tr w:rsidR="00C36189" w:rsidRPr="005C36F5" w:rsidTr="00314B44">
        <w:trPr>
          <w:trHeight w:val="239"/>
        </w:trPr>
        <w:tc>
          <w:tcPr>
            <w:tcW w:w="2004"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1259"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990"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Cumulative</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Cumulative</w:t>
            </w:r>
          </w:p>
        </w:tc>
      </w:tr>
      <w:tr w:rsidR="00C36189" w:rsidRPr="005C36F5" w:rsidTr="00314B44">
        <w:trPr>
          <w:trHeight w:val="239"/>
        </w:trPr>
        <w:tc>
          <w:tcPr>
            <w:tcW w:w="200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Value</w:t>
            </w:r>
          </w:p>
        </w:tc>
        <w:tc>
          <w:tcPr>
            <w:tcW w:w="1259"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Count</w:t>
            </w:r>
          </w:p>
        </w:tc>
        <w:tc>
          <w:tcPr>
            <w:tcW w:w="99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Percent</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Count</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Percent</w:t>
            </w:r>
          </w:p>
        </w:tc>
      </w:tr>
      <w:tr w:rsidR="00C36189" w:rsidRPr="005C36F5" w:rsidTr="00314B44">
        <w:trPr>
          <w:trHeight w:val="239"/>
        </w:trPr>
        <w:tc>
          <w:tcPr>
            <w:tcW w:w="200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[0, 200000000)</w:t>
            </w:r>
          </w:p>
        </w:tc>
        <w:tc>
          <w:tcPr>
            <w:tcW w:w="1259"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56</w:t>
            </w:r>
          </w:p>
        </w:tc>
        <w:tc>
          <w:tcPr>
            <w:tcW w:w="99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93.33</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56</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93.33</w:t>
            </w:r>
          </w:p>
        </w:tc>
      </w:tr>
      <w:tr w:rsidR="00C36189" w:rsidRPr="005C36F5" w:rsidTr="00314B44">
        <w:trPr>
          <w:trHeight w:val="239"/>
        </w:trPr>
        <w:tc>
          <w:tcPr>
            <w:tcW w:w="200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[200000000, 400000000)</w:t>
            </w:r>
          </w:p>
        </w:tc>
        <w:tc>
          <w:tcPr>
            <w:tcW w:w="1259"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w:t>
            </w:r>
          </w:p>
        </w:tc>
        <w:tc>
          <w:tcPr>
            <w:tcW w:w="99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3.33</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58</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96.67</w:t>
            </w:r>
          </w:p>
        </w:tc>
      </w:tr>
      <w:tr w:rsidR="00C36189" w:rsidRPr="005C36F5" w:rsidTr="00314B44">
        <w:trPr>
          <w:trHeight w:val="239"/>
        </w:trPr>
        <w:tc>
          <w:tcPr>
            <w:tcW w:w="200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[1200000000, 1400000000)</w:t>
            </w:r>
          </w:p>
        </w:tc>
        <w:tc>
          <w:tcPr>
            <w:tcW w:w="1259"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2</w:t>
            </w:r>
          </w:p>
        </w:tc>
        <w:tc>
          <w:tcPr>
            <w:tcW w:w="99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3.33</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r>
      <w:tr w:rsidR="00C36189" w:rsidRPr="005C36F5" w:rsidTr="00314B44">
        <w:trPr>
          <w:trHeight w:val="239"/>
        </w:trPr>
        <w:tc>
          <w:tcPr>
            <w:tcW w:w="2004"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Total</w:t>
            </w:r>
          </w:p>
        </w:tc>
        <w:tc>
          <w:tcPr>
            <w:tcW w:w="1259"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99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c>
          <w:tcPr>
            <w:tcW w:w="153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60</w:t>
            </w:r>
          </w:p>
        </w:tc>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100.00</w:t>
            </w:r>
          </w:p>
        </w:tc>
      </w:tr>
    </w:tbl>
    <w:p w:rsidR="00C36189" w:rsidRPr="005C36F5" w:rsidRDefault="00C36189" w:rsidP="00865012">
      <w:pPr>
        <w:autoSpaceDE w:val="0"/>
        <w:autoSpaceDN w:val="0"/>
        <w:adjustRightInd w:val="0"/>
        <w:spacing w:after="0" w:line="240" w:lineRule="auto"/>
        <w:ind w:left="1440"/>
        <w:jc w:val="both"/>
        <w:rPr>
          <w:rFonts w:ascii="Times New Roman" w:hAnsi="Times New Roman" w:cs="Times New Roman"/>
          <w:sz w:val="24"/>
          <w:szCs w:val="24"/>
        </w:rPr>
      </w:pPr>
    </w:p>
    <w:p w:rsidR="00C36189" w:rsidRPr="005C36F5" w:rsidRDefault="00B1367B" w:rsidP="00865012">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sz w:val="24"/>
          <w:szCs w:val="24"/>
        </w:rPr>
        <w:lastRenderedPageBreak/>
        <w:t>Table-V</w:t>
      </w:r>
      <w:r w:rsidR="00BE3D26" w:rsidRPr="005C36F5">
        <w:rPr>
          <w:rFonts w:ascii="Times New Roman" w:hAnsi="Times New Roman" w:cs="Times New Roman"/>
          <w:sz w:val="24"/>
          <w:szCs w:val="24"/>
        </w:rPr>
        <w:t xml:space="preserve"> depicts the distribution of population that is up to 20 million for 93.33 percent of Partners. </w:t>
      </w:r>
      <w:r w:rsidR="00683A02" w:rsidRPr="005C36F5">
        <w:rPr>
          <w:rFonts w:ascii="Times New Roman" w:hAnsi="Times New Roman" w:cs="Times New Roman"/>
          <w:sz w:val="24"/>
          <w:szCs w:val="24"/>
        </w:rPr>
        <w:t>Whereas</w:t>
      </w:r>
      <w:r w:rsidRPr="005C36F5">
        <w:rPr>
          <w:rFonts w:ascii="Times New Roman" w:hAnsi="Times New Roman" w:cs="Times New Roman"/>
          <w:sz w:val="24"/>
          <w:szCs w:val="24"/>
        </w:rPr>
        <w:t>, 6.66</w:t>
      </w:r>
      <w:r w:rsidR="00BE3D26" w:rsidRPr="005C36F5">
        <w:rPr>
          <w:rFonts w:ascii="Times New Roman" w:hAnsi="Times New Roman" w:cs="Times New Roman"/>
          <w:sz w:val="24"/>
          <w:szCs w:val="24"/>
        </w:rPr>
        <w:t xml:space="preserve"> percent partners have more than 20 million of population.</w:t>
      </w:r>
    </w:p>
    <w:p w:rsidR="00865012" w:rsidRDefault="00865012" w:rsidP="00865012">
      <w:pPr>
        <w:autoSpaceDE w:val="0"/>
        <w:autoSpaceDN w:val="0"/>
        <w:adjustRightInd w:val="0"/>
        <w:spacing w:after="0" w:line="240" w:lineRule="auto"/>
        <w:ind w:left="1440"/>
        <w:jc w:val="both"/>
        <w:rPr>
          <w:rFonts w:ascii="Times New Roman" w:hAnsi="Times New Roman" w:cs="Times New Roman"/>
          <w:b/>
          <w:sz w:val="24"/>
          <w:szCs w:val="24"/>
        </w:rPr>
      </w:pPr>
    </w:p>
    <w:p w:rsidR="00C36189" w:rsidRPr="00865012" w:rsidRDefault="00B1367B" w:rsidP="00865012">
      <w:pPr>
        <w:autoSpaceDE w:val="0"/>
        <w:autoSpaceDN w:val="0"/>
        <w:adjustRightInd w:val="0"/>
        <w:spacing w:after="0" w:line="240" w:lineRule="auto"/>
        <w:ind w:left="1440"/>
        <w:jc w:val="both"/>
        <w:rPr>
          <w:rFonts w:ascii="Times New Roman" w:hAnsi="Times New Roman" w:cs="Times New Roman"/>
          <w:sz w:val="24"/>
          <w:szCs w:val="24"/>
        </w:rPr>
      </w:pPr>
      <w:r w:rsidRPr="005C36F5">
        <w:rPr>
          <w:rFonts w:ascii="Times New Roman" w:hAnsi="Times New Roman" w:cs="Times New Roman"/>
          <w:b/>
          <w:sz w:val="24"/>
          <w:szCs w:val="24"/>
        </w:rPr>
        <w:t>Table VI</w:t>
      </w:r>
      <w:r w:rsidR="00865012">
        <w:rPr>
          <w:rFonts w:ascii="Times New Roman" w:hAnsi="Times New Roman" w:cs="Times New Roman"/>
          <w:b/>
          <w:sz w:val="24"/>
          <w:szCs w:val="24"/>
        </w:rPr>
        <w:t xml:space="preserve"> </w:t>
      </w:r>
      <w:r w:rsidR="00BE3D26" w:rsidRPr="00865012">
        <w:rPr>
          <w:rFonts w:ascii="Times New Roman" w:hAnsi="Times New Roman" w:cs="Times New Roman"/>
          <w:sz w:val="24"/>
          <w:szCs w:val="24"/>
        </w:rPr>
        <w:t>Descriptive Statistics</w:t>
      </w:r>
    </w:p>
    <w:p w:rsidR="00865012" w:rsidRPr="005C36F5" w:rsidRDefault="00865012" w:rsidP="00865012">
      <w:pPr>
        <w:autoSpaceDE w:val="0"/>
        <w:autoSpaceDN w:val="0"/>
        <w:adjustRightInd w:val="0"/>
        <w:spacing w:after="0" w:line="240" w:lineRule="auto"/>
        <w:ind w:left="1440"/>
        <w:jc w:val="both"/>
        <w:rPr>
          <w:rFonts w:ascii="Times New Roman" w:hAnsi="Times New Roman" w:cs="Times New Roman"/>
          <w:b/>
          <w:sz w:val="24"/>
          <w:szCs w:val="24"/>
        </w:rPr>
      </w:pPr>
    </w:p>
    <w:tbl>
      <w:tblPr>
        <w:tblStyle w:val="TableGrid"/>
        <w:tblW w:w="8010" w:type="dxa"/>
        <w:tblInd w:w="1638" w:type="dxa"/>
        <w:tblLayout w:type="fixed"/>
        <w:tblLook w:val="04A0" w:firstRow="1" w:lastRow="0" w:firstColumn="1" w:lastColumn="0" w:noHBand="0" w:noVBand="1"/>
      </w:tblPr>
      <w:tblGrid>
        <w:gridCol w:w="1710"/>
        <w:gridCol w:w="1260"/>
        <w:gridCol w:w="1260"/>
        <w:gridCol w:w="1260"/>
        <w:gridCol w:w="1260"/>
        <w:gridCol w:w="1260"/>
      </w:tblGrid>
      <w:tr w:rsidR="00C36189" w:rsidRPr="005C36F5" w:rsidTr="00423D48">
        <w:trPr>
          <w:trHeight w:val="225"/>
        </w:trPr>
        <w:tc>
          <w:tcPr>
            <w:tcW w:w="1710" w:type="dxa"/>
          </w:tcPr>
          <w:p w:rsidR="00C36189" w:rsidRPr="005C36F5" w:rsidRDefault="00C36189" w:rsidP="005C36F5">
            <w:pPr>
              <w:autoSpaceDE w:val="0"/>
              <w:autoSpaceDN w:val="0"/>
              <w:adjustRightInd w:val="0"/>
              <w:jc w:val="both"/>
              <w:rPr>
                <w:rFonts w:ascii="Times New Roman" w:hAnsi="Times New Roman" w:cs="Times New Roman"/>
                <w:color w:val="000000"/>
                <w:sz w:val="24"/>
                <w:szCs w:val="24"/>
              </w:rPr>
            </w:pP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IGDP</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IDIS</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IPC</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BITR</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IPOP</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Mean</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1.08E+12</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-3111.700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24051.25</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290118.5</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90975588</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Median</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3.01E+11</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-3061.500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14353.04</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162707.6</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28559310</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Maximum</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1.63E+13</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-33.00000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89540.25</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979726.9</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1.36E+09</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Minimum</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9.79E+09</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-9728.000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413.8597</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4783.396</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2060317.</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Std. Dev.</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2.46E+12</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2130.005</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22825.14</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274178.3</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2.40E+08</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Skewness</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4.660187</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-0.875665</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0.808366</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0.643168</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4.721118</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Kurtosis</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27.17996</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4.233494</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2.685917</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2.052155</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24.67442</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Jarque-Bera</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1678.849</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11.47167</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6.781173</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6.382682</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1397.341</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Probability</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0.000000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0.003228</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0.033689</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0.041117</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0.000000</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Sum</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6.45E+13</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-186702.0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1443075.</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17407109</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5.46E+09</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Sum Sq. Dev.</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3.56E+26</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2.68E+08</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3.07E+10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4.44E+12</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3.39E+18</w:t>
            </w:r>
          </w:p>
        </w:tc>
      </w:tr>
      <w:tr w:rsidR="00C36189" w:rsidRPr="005C36F5" w:rsidTr="00423D48">
        <w:trPr>
          <w:trHeight w:val="225"/>
        </w:trPr>
        <w:tc>
          <w:tcPr>
            <w:tcW w:w="171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Observations</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60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60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60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60</w:t>
            </w:r>
          </w:p>
        </w:tc>
        <w:tc>
          <w:tcPr>
            <w:tcW w:w="1260" w:type="dxa"/>
          </w:tcPr>
          <w:p w:rsidR="00C36189" w:rsidRPr="005C36F5" w:rsidRDefault="00BE3D26" w:rsidP="005C36F5">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 60</w:t>
            </w:r>
          </w:p>
        </w:tc>
      </w:tr>
    </w:tbl>
    <w:p w:rsidR="00865012" w:rsidRDefault="00865012" w:rsidP="00865012">
      <w:pPr>
        <w:pStyle w:val="Default"/>
        <w:ind w:left="1440"/>
        <w:jc w:val="both"/>
        <w:rPr>
          <w:color w:val="auto"/>
        </w:rPr>
      </w:pPr>
    </w:p>
    <w:p w:rsidR="00C36189" w:rsidRDefault="00B1367B" w:rsidP="00865012">
      <w:pPr>
        <w:pStyle w:val="Default"/>
        <w:ind w:left="1440"/>
        <w:jc w:val="both"/>
      </w:pPr>
      <w:r w:rsidRPr="005C36F5">
        <w:rPr>
          <w:color w:val="auto"/>
        </w:rPr>
        <w:t>Table-VI, represent</w:t>
      </w:r>
      <w:r w:rsidR="00BE3D26" w:rsidRPr="005C36F5">
        <w:rPr>
          <w:color w:val="auto"/>
        </w:rPr>
        <w:t xml:space="preserve"> the descriptive statistics of </w:t>
      </w:r>
      <w:r w:rsidRPr="005C36F5">
        <w:rPr>
          <w:color w:val="auto"/>
        </w:rPr>
        <w:t xml:space="preserve">data. </w:t>
      </w:r>
      <w:r w:rsidR="00BE3D26" w:rsidRPr="005C36F5">
        <w:rPr>
          <w:color w:val="auto"/>
        </w:rPr>
        <w:t xml:space="preserve">Data is almost normal in it distribution. Hence, data is suitable for auxiliary analysis. </w:t>
      </w:r>
      <w:r w:rsidR="00BE3D26" w:rsidRPr="005C36F5">
        <w:rPr>
          <w:rFonts w:eastAsia="Calibri"/>
          <w:color w:val="auto"/>
        </w:rPr>
        <w:t>As we discussed earlier that study lend the concepts from gravity model for input and output variables of trade and apply the DEA method to corroborate the concept embedded in Gravity model foundation.</w:t>
      </w:r>
      <w:r w:rsidR="00BE3D26" w:rsidRPr="005C36F5">
        <w:rPr>
          <w:color w:val="auto"/>
        </w:rPr>
        <w:t xml:space="preserve"> The selection of input and output variables is very important in DEA application. The DEA result is sensitive towards input selections (Gutiérrez et al., 2007). Any change in inputs may turn an efficient DMU into</w:t>
      </w:r>
      <w:r w:rsidR="00BE3D26" w:rsidRPr="005C36F5">
        <w:t xml:space="preserve"> inefficient and vice versa. Data envelopment analysis efficiency score, with the help of the selected input and output variables, has estimated under CCR (Charnes et al., 1978) input based models. It measures the Technical Efficiency (TE) of DMUs that is a comparative measure indicating DMU’s maximum potential to process inputs to achieve its outputs, represented by its possibility frontier (Barros &amp; Mascarenhas, 2005).</w:t>
      </w:r>
      <w:r w:rsidR="00423D48">
        <w:t xml:space="preserve"> </w:t>
      </w:r>
      <w:r w:rsidR="00BE3D26" w:rsidRPr="005C36F5">
        <w:t xml:space="preserve">The Estimation of technical efficiencies helps </w:t>
      </w:r>
      <w:r w:rsidR="00683A02" w:rsidRPr="005C36F5">
        <w:t>to reveal</w:t>
      </w:r>
      <w:r w:rsidR="00BE3D26" w:rsidRPr="005C36F5">
        <w:t xml:space="preserve"> DMUs (partner countries in our study) are capable in terms of exploiting their resources (trade potentials in our study).</w:t>
      </w:r>
    </w:p>
    <w:p w:rsidR="00865012" w:rsidRDefault="00865012"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pPr>
    </w:p>
    <w:p w:rsidR="00423D48" w:rsidRDefault="00423D48" w:rsidP="00865012">
      <w:pPr>
        <w:pStyle w:val="Default"/>
        <w:ind w:left="1440"/>
        <w:jc w:val="both"/>
        <w:rPr>
          <w:rFonts w:eastAsia="Calibri"/>
          <w:b/>
          <w:color w:val="333333"/>
        </w:rPr>
        <w:sectPr w:rsidR="00423D48" w:rsidSect="00E43860">
          <w:headerReference w:type="default" r:id="rId39"/>
          <w:footerReference w:type="default" r:id="rId40"/>
          <w:type w:val="continuous"/>
          <w:pgSz w:w="11906" w:h="16838" w:code="9"/>
          <w:pgMar w:top="1440" w:right="1440" w:bottom="1440" w:left="1440" w:header="720" w:footer="720" w:gutter="0"/>
          <w:pgNumType w:start="4906"/>
          <w:cols w:space="720"/>
          <w:docGrid w:linePitch="360"/>
        </w:sectPr>
      </w:pPr>
    </w:p>
    <w:p w:rsidR="00C36189" w:rsidRPr="00865012" w:rsidRDefault="00B1367B" w:rsidP="00865012">
      <w:pPr>
        <w:pStyle w:val="Default"/>
        <w:ind w:left="1440"/>
        <w:jc w:val="both"/>
      </w:pPr>
      <w:r w:rsidRPr="005C36F5">
        <w:rPr>
          <w:rFonts w:eastAsia="Calibri"/>
          <w:b/>
          <w:color w:val="333333"/>
        </w:rPr>
        <w:lastRenderedPageBreak/>
        <w:t>Table-VII</w:t>
      </w:r>
      <w:r w:rsidR="00865012">
        <w:rPr>
          <w:rFonts w:eastAsia="Calibri"/>
          <w:b/>
          <w:color w:val="333333"/>
        </w:rPr>
        <w:t>:</w:t>
      </w:r>
      <w:r w:rsidR="00865012">
        <w:t xml:space="preserve"> </w:t>
      </w:r>
      <w:r w:rsidR="00865012" w:rsidRPr="00865012">
        <w:rPr>
          <w:rFonts w:eastAsia="Calibri"/>
          <w:color w:val="333333"/>
        </w:rPr>
        <w:t>Efficiency Scores</w:t>
      </w:r>
    </w:p>
    <w:p w:rsidR="00C36189" w:rsidRPr="005C36F5" w:rsidRDefault="00C36189" w:rsidP="00865012">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tbl>
      <w:tblPr>
        <w:tblStyle w:val="TableGrid"/>
        <w:tblpPr w:leftFromText="180" w:rightFromText="180" w:vertAnchor="text" w:horzAnchor="margin" w:tblpXSpec="center" w:tblpY="165"/>
        <w:tblW w:w="9242" w:type="dxa"/>
        <w:tblLook w:val="04A0" w:firstRow="1" w:lastRow="0" w:firstColumn="1" w:lastColumn="0" w:noHBand="0" w:noVBand="1"/>
      </w:tblPr>
      <w:tblGrid>
        <w:gridCol w:w="1563"/>
        <w:gridCol w:w="636"/>
        <w:gridCol w:w="1336"/>
        <w:gridCol w:w="1116"/>
        <w:gridCol w:w="1470"/>
        <w:gridCol w:w="1116"/>
        <w:gridCol w:w="1470"/>
        <w:gridCol w:w="1116"/>
        <w:gridCol w:w="1443"/>
        <w:gridCol w:w="1116"/>
      </w:tblGrid>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Turkey</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Mexico</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0.99</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Sweden</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0.894726</w:t>
            </w:r>
          </w:p>
        </w:tc>
        <w:tc>
          <w:tcPr>
            <w:tcW w:w="1267"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Philippine</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0.54754</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Norway</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0.276069</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Switzerland</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Canada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0.99</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Portugal</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0.878742</w:t>
            </w:r>
          </w:p>
        </w:tc>
        <w:tc>
          <w:tcPr>
            <w:tcW w:w="1267"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Iran, Islamic Rep.</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0.537415</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Iraq</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0.221657</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Senegal</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Poland</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0.989511</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Bangladesh</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0.871612</w:t>
            </w:r>
          </w:p>
        </w:tc>
        <w:tc>
          <w:tcPr>
            <w:tcW w:w="1267"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Romania</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0.527154</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Qatar</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0.190784</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New Zealand</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Finland</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0.984892</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South Africa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0.785571</w:t>
            </w:r>
          </w:p>
        </w:tc>
        <w:tc>
          <w:tcPr>
            <w:tcW w:w="1267"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France</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0.503459</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Spain</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0.173202</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Mozambique</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Ghana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0.98</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Ireland</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0.770137</w:t>
            </w:r>
          </w:p>
        </w:tc>
        <w:tc>
          <w:tcPr>
            <w:tcW w:w="1267" w:type="dxa"/>
            <w:noWrap/>
          </w:tcPr>
          <w:p w:rsidR="00C36189" w:rsidRPr="005C36F5" w:rsidRDefault="00BE3D26" w:rsidP="00865012">
            <w:pPr>
              <w:jc w:val="both"/>
              <w:rPr>
                <w:rFonts w:ascii="Times New Roman" w:eastAsia="Times New Roman" w:hAnsi="Times New Roman" w:cs="Times New Roman"/>
                <w:b/>
                <w:color w:val="000000" w:themeColor="text1"/>
                <w:sz w:val="24"/>
                <w:szCs w:val="24"/>
              </w:rPr>
            </w:pPr>
            <w:r w:rsidRPr="005C36F5">
              <w:rPr>
                <w:rFonts w:ascii="Times New Roman" w:eastAsia="Times New Roman" w:hAnsi="Times New Roman" w:cs="Times New Roman"/>
                <w:b/>
                <w:color w:val="000000" w:themeColor="text1"/>
                <w:sz w:val="24"/>
                <w:szCs w:val="24"/>
              </w:rPr>
              <w:t>Hong Kong SAR, China</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0.49664</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Jordan</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0.15648</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Madagascar</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Saudi Arabia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0.976973</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Hungary</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0.737964</w:t>
            </w:r>
          </w:p>
        </w:tc>
        <w:tc>
          <w:tcPr>
            <w:tcW w:w="1267" w:type="dxa"/>
            <w:noWrap/>
          </w:tcPr>
          <w:p w:rsidR="00C36189" w:rsidRPr="005C36F5" w:rsidRDefault="00B1367B" w:rsidP="00865012">
            <w:pPr>
              <w:jc w:val="both"/>
              <w:rPr>
                <w:rFonts w:ascii="Times New Roman" w:eastAsia="Times New Roman" w:hAnsi="Times New Roman" w:cs="Times New Roman"/>
                <w:b/>
                <w:color w:val="000000" w:themeColor="text1"/>
                <w:sz w:val="24"/>
                <w:szCs w:val="24"/>
              </w:rPr>
            </w:pPr>
            <w:r w:rsidRPr="005C36F5">
              <w:rPr>
                <w:rFonts w:ascii="Times New Roman" w:eastAsia="Times New Roman" w:hAnsi="Times New Roman" w:cs="Times New Roman"/>
                <w:b/>
                <w:color w:val="000000" w:themeColor="text1"/>
                <w:sz w:val="24"/>
                <w:szCs w:val="24"/>
              </w:rPr>
              <w:t>Afghanistan</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0.49</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Chile</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0.137873</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Japan</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Lithuania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0.97</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Greece</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0.722199</w:t>
            </w:r>
          </w:p>
        </w:tc>
        <w:tc>
          <w:tcPr>
            <w:tcW w:w="1267" w:type="dxa"/>
            <w:noWrap/>
          </w:tcPr>
          <w:p w:rsidR="00C36189" w:rsidRPr="005C36F5" w:rsidRDefault="00BE3D26" w:rsidP="00865012">
            <w:pPr>
              <w:jc w:val="both"/>
              <w:rPr>
                <w:rFonts w:ascii="Times New Roman" w:eastAsia="Times New Roman" w:hAnsi="Times New Roman" w:cs="Times New Roman"/>
                <w:b/>
                <w:color w:val="000000" w:themeColor="text1"/>
                <w:sz w:val="24"/>
                <w:szCs w:val="24"/>
              </w:rPr>
            </w:pPr>
            <w:r w:rsidRPr="005C36F5">
              <w:rPr>
                <w:rFonts w:ascii="Times New Roman" w:eastAsia="Times New Roman" w:hAnsi="Times New Roman" w:cs="Times New Roman"/>
                <w:b/>
                <w:color w:val="000000" w:themeColor="text1"/>
                <w:sz w:val="24"/>
                <w:szCs w:val="24"/>
              </w:rPr>
              <w:t>Malaysia</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0.442357</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United States</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0.133</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Indonesia</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Thailand</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0.963363</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Uganda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0.65</w:t>
            </w:r>
          </w:p>
        </w:tc>
        <w:tc>
          <w:tcPr>
            <w:tcW w:w="1267" w:type="dxa"/>
            <w:noWrap/>
          </w:tcPr>
          <w:p w:rsidR="00C36189" w:rsidRPr="005C36F5" w:rsidRDefault="00BE3D26" w:rsidP="00865012">
            <w:pPr>
              <w:jc w:val="both"/>
              <w:rPr>
                <w:rFonts w:ascii="Times New Roman" w:eastAsia="Times New Roman" w:hAnsi="Times New Roman" w:cs="Times New Roman"/>
                <w:b/>
                <w:color w:val="000000" w:themeColor="text1"/>
                <w:sz w:val="24"/>
                <w:szCs w:val="24"/>
              </w:rPr>
            </w:pPr>
            <w:r w:rsidRPr="005C36F5">
              <w:rPr>
                <w:rFonts w:ascii="Times New Roman" w:eastAsia="Times New Roman" w:hAnsi="Times New Roman" w:cs="Times New Roman"/>
                <w:b/>
                <w:color w:val="000000" w:themeColor="text1"/>
                <w:sz w:val="24"/>
                <w:szCs w:val="24"/>
              </w:rPr>
              <w:t>United Kingdom</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0.44068</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Kuwait</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0.073842</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India</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Russian Federation</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0.957222</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Argentina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0.636898</w:t>
            </w:r>
          </w:p>
        </w:tc>
        <w:tc>
          <w:tcPr>
            <w:tcW w:w="1267" w:type="dxa"/>
            <w:noWrap/>
          </w:tcPr>
          <w:p w:rsidR="00C36189" w:rsidRPr="005C36F5" w:rsidRDefault="00BE3D26" w:rsidP="00865012">
            <w:pPr>
              <w:jc w:val="both"/>
              <w:rPr>
                <w:rFonts w:ascii="Times New Roman" w:eastAsia="Times New Roman" w:hAnsi="Times New Roman" w:cs="Times New Roman"/>
                <w:b/>
                <w:color w:val="000000" w:themeColor="text1"/>
                <w:sz w:val="24"/>
                <w:szCs w:val="24"/>
              </w:rPr>
            </w:pPr>
            <w:r w:rsidRPr="005C36F5">
              <w:rPr>
                <w:rFonts w:ascii="Times New Roman" w:eastAsia="Times New Roman" w:hAnsi="Times New Roman" w:cs="Times New Roman"/>
                <w:b/>
                <w:color w:val="000000" w:themeColor="text1"/>
                <w:sz w:val="24"/>
                <w:szCs w:val="24"/>
              </w:rPr>
              <w:t>Sri Lanka</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0.437993</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Kazakhstan</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0.06671</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China</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Italy</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0.908306</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Netherlands</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0.624832</w:t>
            </w:r>
          </w:p>
        </w:tc>
        <w:tc>
          <w:tcPr>
            <w:tcW w:w="1267"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Egypt, Arab Rep.</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0.42009</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Oman</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0.057899</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Australia</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1</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Kenya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0.905403</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Tanzania</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0.579986</w:t>
            </w:r>
          </w:p>
        </w:tc>
        <w:tc>
          <w:tcPr>
            <w:tcW w:w="1267"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Belgium</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0.294206</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United Arab Emirates</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0.034083</w:t>
            </w:r>
          </w:p>
        </w:tc>
      </w:tr>
      <w:tr w:rsidR="00865012" w:rsidRPr="005C36F5" w:rsidTr="00423D48">
        <w:trPr>
          <w:trHeight w:val="98"/>
        </w:trPr>
        <w:tc>
          <w:tcPr>
            <w:tcW w:w="114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Nigeria</w:t>
            </w:r>
          </w:p>
        </w:tc>
        <w:tc>
          <w:tcPr>
            <w:tcW w:w="50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0.99</w:t>
            </w:r>
          </w:p>
        </w:tc>
        <w:tc>
          <w:tcPr>
            <w:tcW w:w="992"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Singapore</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0.8967</w:t>
            </w:r>
          </w:p>
        </w:tc>
        <w:tc>
          <w:tcPr>
            <w:tcW w:w="1085"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Denmark</w:t>
            </w:r>
          </w:p>
        </w:tc>
        <w:tc>
          <w:tcPr>
            <w:tcW w:w="840"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0.56123</w:t>
            </w:r>
          </w:p>
        </w:tc>
        <w:tc>
          <w:tcPr>
            <w:tcW w:w="1267"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Germany</w:t>
            </w:r>
          </w:p>
        </w:tc>
        <w:tc>
          <w:tcPr>
            <w:tcW w:w="658"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0.278451</w:t>
            </w:r>
          </w:p>
        </w:tc>
        <w:tc>
          <w:tcPr>
            <w:tcW w:w="1066" w:type="dxa"/>
            <w:noWrap/>
          </w:tcPr>
          <w:p w:rsidR="00C36189" w:rsidRPr="005C36F5" w:rsidRDefault="00BE3D26" w:rsidP="00865012">
            <w:pPr>
              <w:jc w:val="both"/>
              <w:rPr>
                <w:rFonts w:ascii="Times New Roman" w:eastAsia="Times New Roman" w:hAnsi="Times New Roman" w:cs="Times New Roman"/>
                <w:b/>
                <w:sz w:val="24"/>
                <w:szCs w:val="24"/>
              </w:rPr>
            </w:pPr>
            <w:r w:rsidRPr="005C36F5">
              <w:rPr>
                <w:rFonts w:ascii="Times New Roman" w:eastAsia="Times New Roman" w:hAnsi="Times New Roman" w:cs="Times New Roman"/>
                <w:b/>
                <w:sz w:val="24"/>
                <w:szCs w:val="24"/>
              </w:rPr>
              <w:t>Slovenia</w:t>
            </w:r>
          </w:p>
        </w:tc>
        <w:tc>
          <w:tcPr>
            <w:tcW w:w="840" w:type="dxa"/>
            <w:noWrap/>
          </w:tcPr>
          <w:p w:rsidR="00C36189" w:rsidRPr="005C36F5" w:rsidRDefault="00BE3D26" w:rsidP="00865012">
            <w:pPr>
              <w:jc w:val="both"/>
              <w:rPr>
                <w:rFonts w:ascii="Times New Roman" w:eastAsia="Times New Roman" w:hAnsi="Times New Roman" w:cs="Times New Roman"/>
                <w:sz w:val="24"/>
                <w:szCs w:val="24"/>
              </w:rPr>
            </w:pPr>
            <w:r w:rsidRPr="005C36F5">
              <w:rPr>
                <w:rFonts w:ascii="Times New Roman" w:eastAsia="Times New Roman" w:hAnsi="Times New Roman" w:cs="Times New Roman"/>
                <w:b/>
                <w:sz w:val="24"/>
                <w:szCs w:val="24"/>
              </w:rPr>
              <w:t>0.017178</w:t>
            </w:r>
          </w:p>
        </w:tc>
      </w:tr>
    </w:tbl>
    <w:p w:rsidR="00423D48" w:rsidRDefault="00423D48" w:rsidP="005C36F5">
      <w:pPr>
        <w:autoSpaceDE w:val="0"/>
        <w:autoSpaceDN w:val="0"/>
        <w:adjustRightInd w:val="0"/>
        <w:spacing w:after="0" w:line="240" w:lineRule="auto"/>
        <w:jc w:val="both"/>
        <w:rPr>
          <w:rFonts w:ascii="Times New Roman" w:eastAsia="Calibri" w:hAnsi="Times New Roman" w:cs="Times New Roman"/>
          <w:b/>
          <w:color w:val="333333"/>
          <w:sz w:val="24"/>
          <w:szCs w:val="24"/>
        </w:rPr>
        <w:sectPr w:rsidR="00423D48" w:rsidSect="00423D48">
          <w:type w:val="continuous"/>
          <w:pgSz w:w="16838" w:h="11906" w:orient="landscape" w:code="9"/>
          <w:pgMar w:top="1440" w:right="1440" w:bottom="1440" w:left="1440" w:header="720" w:footer="720" w:gutter="0"/>
          <w:cols w:space="720"/>
          <w:docGrid w:linePitch="360"/>
        </w:sectPr>
      </w:pPr>
    </w:p>
    <w:p w:rsidR="00C36189" w:rsidRPr="005C36F5" w:rsidRDefault="00C36189" w:rsidP="005C36F5">
      <w:pPr>
        <w:autoSpaceDE w:val="0"/>
        <w:autoSpaceDN w:val="0"/>
        <w:adjustRightInd w:val="0"/>
        <w:spacing w:after="0" w:line="240" w:lineRule="auto"/>
        <w:jc w:val="both"/>
        <w:rPr>
          <w:rFonts w:ascii="Times New Roman" w:eastAsia="Calibri" w:hAnsi="Times New Roman" w:cs="Times New Roman"/>
          <w:b/>
          <w:color w:val="333333"/>
          <w:sz w:val="24"/>
          <w:szCs w:val="24"/>
        </w:rPr>
      </w:pPr>
    </w:p>
    <w:p w:rsidR="00865012" w:rsidRDefault="00B1367B" w:rsidP="00423D48">
      <w:pPr>
        <w:pStyle w:val="Default"/>
        <w:jc w:val="both"/>
      </w:pPr>
      <w:r w:rsidRPr="005C36F5">
        <w:t xml:space="preserve"> </w:t>
      </w:r>
    </w:p>
    <w:p w:rsidR="0006542A" w:rsidRPr="005C36F5" w:rsidRDefault="00B1367B" w:rsidP="00865012">
      <w:pPr>
        <w:pStyle w:val="Default"/>
        <w:ind w:left="1440"/>
        <w:jc w:val="both"/>
        <w:rPr>
          <w:rFonts w:eastAsia="Times New Roman"/>
        </w:rPr>
      </w:pPr>
      <w:r w:rsidRPr="005C36F5">
        <w:t>Table VII</w:t>
      </w:r>
      <w:r w:rsidR="00BE3D26" w:rsidRPr="005C36F5">
        <w:t xml:space="preserve">; provides the information about the ranking of partner countries with respect to inputs and outputs efficiency in terms of usage of trade potentials. </w:t>
      </w:r>
      <w:r w:rsidR="00BE3D26" w:rsidRPr="005C36F5">
        <w:rPr>
          <w:rFonts w:eastAsia="Times New Roman"/>
        </w:rPr>
        <w:t xml:space="preserve">Turkey, Switzerland, Senegal, New Zealand, Mozambique, Madagascar, Japan, Indonesia, India, China, </w:t>
      </w:r>
      <w:r w:rsidR="00683A02" w:rsidRPr="005C36F5">
        <w:rPr>
          <w:rFonts w:eastAsia="Times New Roman"/>
        </w:rPr>
        <w:t>and Australia (18.33%) are exploiting their</w:t>
      </w:r>
      <w:r w:rsidR="00BE3D26" w:rsidRPr="005C36F5">
        <w:rPr>
          <w:rFonts w:eastAsia="Times New Roman"/>
        </w:rPr>
        <w:t xml:space="preserve"> trade potentials fully with Pakistan. These are the countries with which Pakistan has 100 percent utilizati</w:t>
      </w:r>
      <w:r w:rsidR="00683A02" w:rsidRPr="005C36F5">
        <w:rPr>
          <w:rFonts w:eastAsia="Times New Roman"/>
        </w:rPr>
        <w:t>on of trade possibilities.</w:t>
      </w:r>
      <w:r w:rsidR="00BE3D26" w:rsidRPr="005C36F5">
        <w:rPr>
          <w:rFonts w:eastAsia="Times New Roman"/>
        </w:rPr>
        <w:t xml:space="preserve"> These countries are utilizing their trade shares with Pakistan optimally with reference to the inputs that are GDP, per capita GDP, population and distance for the output of bilateral trade volu</w:t>
      </w:r>
      <w:r w:rsidR="00423D48">
        <w:rPr>
          <w:rFonts w:eastAsia="Times New Roman"/>
        </w:rPr>
        <w:t>me</w:t>
      </w:r>
      <w:r w:rsidR="00BE3D26" w:rsidRPr="005C36F5">
        <w:rPr>
          <w:rFonts w:eastAsia="Times New Roman"/>
        </w:rPr>
        <w:t>.</w:t>
      </w:r>
      <w:r w:rsidR="00423D48">
        <w:rPr>
          <w:rFonts w:eastAsia="Times New Roman"/>
        </w:rPr>
        <w:t xml:space="preserve"> </w:t>
      </w:r>
      <w:r w:rsidR="00BE3D26" w:rsidRPr="005C36F5">
        <w:rPr>
          <w:rFonts w:eastAsia="Times New Roman"/>
        </w:rPr>
        <w:t xml:space="preserve">Therefore, these 18% countries are </w:t>
      </w:r>
      <w:r w:rsidR="00683A02" w:rsidRPr="005C36F5">
        <w:rPr>
          <w:rFonts w:eastAsia="Times New Roman"/>
        </w:rPr>
        <w:t>reclined</w:t>
      </w:r>
      <w:r w:rsidR="00BE3D26" w:rsidRPr="005C36F5">
        <w:rPr>
          <w:rFonts w:eastAsia="Times New Roman"/>
        </w:rPr>
        <w:t xml:space="preserve"> on the frontier</w:t>
      </w:r>
      <w:r w:rsidR="0006542A" w:rsidRPr="005C36F5">
        <w:rPr>
          <w:rFonts w:eastAsia="Times New Roman"/>
        </w:rPr>
        <w:t xml:space="preserve"> of DEA</w:t>
      </w:r>
      <w:r w:rsidR="00BE3D26" w:rsidRPr="005C36F5">
        <w:rPr>
          <w:rFonts w:eastAsia="Times New Roman"/>
        </w:rPr>
        <w:t>. Whereas</w:t>
      </w:r>
      <w:r w:rsidR="0006542A" w:rsidRPr="005C36F5">
        <w:rPr>
          <w:rFonts w:eastAsia="Times New Roman"/>
        </w:rPr>
        <w:t>,</w:t>
      </w:r>
      <w:r w:rsidR="00BE3D26" w:rsidRPr="005C36F5">
        <w:rPr>
          <w:rFonts w:eastAsia="Times New Roman"/>
        </w:rPr>
        <w:t xml:space="preserve"> all the other 82% countries that ar</w:t>
      </w:r>
      <w:r w:rsidR="0006542A" w:rsidRPr="005C36F5">
        <w:rPr>
          <w:rFonts w:eastAsia="Times New Roman"/>
        </w:rPr>
        <w:t>e trade partner of Pakistan are positioned</w:t>
      </w:r>
      <w:r w:rsidR="00BE3D26" w:rsidRPr="005C36F5">
        <w:rPr>
          <w:rFonts w:eastAsia="Times New Roman"/>
        </w:rPr>
        <w:t xml:space="preserve"> below the frontier. Among the r</w:t>
      </w:r>
      <w:r w:rsidR="00423D48">
        <w:rPr>
          <w:rFonts w:eastAsia="Times New Roman"/>
        </w:rPr>
        <w:t xml:space="preserve">emaining 82% trading countries </w:t>
      </w:r>
      <w:r w:rsidR="00BE3D26" w:rsidRPr="005C36F5">
        <w:rPr>
          <w:rFonts w:eastAsia="Times New Roman"/>
        </w:rPr>
        <w:t>Nigeria, Mexico, Canada, Poland, Finland, Ghana, Saudi Ar</w:t>
      </w:r>
      <w:r w:rsidR="00423D48">
        <w:rPr>
          <w:rFonts w:eastAsia="Times New Roman"/>
        </w:rPr>
        <w:t xml:space="preserve">abia, Lithuania, Thailand, and </w:t>
      </w:r>
      <w:r w:rsidR="00BE3D26" w:rsidRPr="005C36F5">
        <w:rPr>
          <w:rFonts w:eastAsia="Times New Roman"/>
        </w:rPr>
        <w:t>Russian Federation (16.</w:t>
      </w:r>
      <w:r w:rsidR="0066387A">
        <w:rPr>
          <w:rFonts w:eastAsia="Times New Roman"/>
        </w:rPr>
        <w:t>66%</w:t>
      </w:r>
      <w:r w:rsidR="0006542A" w:rsidRPr="005C36F5">
        <w:rPr>
          <w:rFonts w:eastAsia="Times New Roman"/>
        </w:rPr>
        <w:t>)</w:t>
      </w:r>
      <w:r w:rsidR="00423D48">
        <w:rPr>
          <w:rFonts w:eastAsia="Times New Roman"/>
        </w:rPr>
        <w:t xml:space="preserve"> </w:t>
      </w:r>
      <w:r w:rsidR="0006542A" w:rsidRPr="005C36F5">
        <w:rPr>
          <w:rFonts w:eastAsia="Times New Roman"/>
        </w:rPr>
        <w:t>are the countries that positioned</w:t>
      </w:r>
      <w:r w:rsidR="00BE3D26" w:rsidRPr="005C36F5">
        <w:rPr>
          <w:rFonts w:eastAsia="Times New Roman"/>
        </w:rPr>
        <w:t xml:space="preserve"> near the frontier. These are the countries with which Pakistan can utilize more fruitful trade r</w:t>
      </w:r>
      <w:r w:rsidR="0006542A" w:rsidRPr="005C36F5">
        <w:rPr>
          <w:rFonts w:eastAsia="Times New Roman"/>
        </w:rPr>
        <w:t>elations</w:t>
      </w:r>
      <w:r w:rsidR="00BE3D26" w:rsidRPr="005C36F5">
        <w:rPr>
          <w:rFonts w:eastAsia="Times New Roman"/>
        </w:rPr>
        <w:t>. Total 35% countries are utilizing more efficient relations with Pakistan. Among these trade partners all the other 65%</w:t>
      </w:r>
      <w:r w:rsidR="0006542A" w:rsidRPr="005C36F5">
        <w:rPr>
          <w:rFonts w:eastAsia="Times New Roman"/>
        </w:rPr>
        <w:t xml:space="preserve"> are below the frontier and not exploiting </w:t>
      </w:r>
      <w:r w:rsidR="00BE3D26" w:rsidRPr="005C36F5">
        <w:rPr>
          <w:rFonts w:eastAsia="Times New Roman"/>
        </w:rPr>
        <w:t>full potentials of trade with Pakistan. The countries that are near in proximity e.g Bangladesh, Afghanistan and Iran comprise of TE score much below the frontier. It indicates towards many interesting results. It is contradictory to gravity model assumption that less the distance more will be the trade, similarly another assumption of Gravity model that culture and religion similarities enhances the trade volumes. These three countries are not only having the same religion as of Pakistan but also in neighborhood. It can be inferred that trade is not affected by distance and culture; it is dependent on th</w:t>
      </w:r>
      <w:r w:rsidR="0006542A" w:rsidRPr="005C36F5">
        <w:rPr>
          <w:rFonts w:eastAsia="Times New Roman"/>
        </w:rPr>
        <w:t xml:space="preserve">e demand of the consumers. Either </w:t>
      </w:r>
      <w:r w:rsidR="00BE3D26" w:rsidRPr="005C36F5">
        <w:rPr>
          <w:rFonts w:eastAsia="Times New Roman"/>
        </w:rPr>
        <w:t>it can be fulfilled from a neighboring country at a lower</w:t>
      </w:r>
      <w:r w:rsidR="00423D48">
        <w:rPr>
          <w:rFonts w:eastAsia="Times New Roman"/>
        </w:rPr>
        <w:t xml:space="preserve"> transaction cost or from a fara</w:t>
      </w:r>
      <w:r w:rsidR="00423D48" w:rsidRPr="005C36F5">
        <w:rPr>
          <w:rFonts w:eastAsia="Times New Roman"/>
        </w:rPr>
        <w:t>way</w:t>
      </w:r>
      <w:r w:rsidR="00BE3D26" w:rsidRPr="005C36F5">
        <w:rPr>
          <w:rFonts w:eastAsia="Times New Roman"/>
        </w:rPr>
        <w:t xml:space="preserve"> country at a hig</w:t>
      </w:r>
      <w:r w:rsidR="0006542A" w:rsidRPr="005C36F5">
        <w:rPr>
          <w:rFonts w:eastAsia="Times New Roman"/>
        </w:rPr>
        <w:t>her transaction cost</w:t>
      </w:r>
      <w:r w:rsidR="00BE3D26" w:rsidRPr="005C36F5">
        <w:rPr>
          <w:rFonts w:eastAsia="Times New Roman"/>
        </w:rPr>
        <w:t xml:space="preserve">. Except China and India all the other trade partners of Pakistan are distant from it. Another interesting </w:t>
      </w:r>
      <w:r w:rsidR="0006542A" w:rsidRPr="005C36F5">
        <w:rPr>
          <w:rFonts w:eastAsia="Times New Roman"/>
        </w:rPr>
        <w:t>implication</w:t>
      </w:r>
      <w:r w:rsidR="00BE3D26" w:rsidRPr="005C36F5">
        <w:rPr>
          <w:rFonts w:eastAsia="Times New Roman"/>
        </w:rPr>
        <w:t xml:space="preserve"> from the analysis can be drawn, Pakistan should look at it trade opportunities with t</w:t>
      </w:r>
      <w:r w:rsidR="00423D48">
        <w:rPr>
          <w:rFonts w:eastAsia="Times New Roman"/>
        </w:rPr>
        <w:t xml:space="preserve">he neighbor countries. Because </w:t>
      </w:r>
      <w:r w:rsidR="00BE3D26" w:rsidRPr="005C36F5">
        <w:rPr>
          <w:rFonts w:eastAsia="Times New Roman"/>
        </w:rPr>
        <w:t>accordin</w:t>
      </w:r>
      <w:r w:rsidR="0066387A">
        <w:rPr>
          <w:rFonts w:eastAsia="Times New Roman"/>
        </w:rPr>
        <w:t>g to DEA model TE score ranking</w:t>
      </w:r>
      <w:r w:rsidR="00BE3D26" w:rsidRPr="005C36F5">
        <w:rPr>
          <w:rFonts w:eastAsia="Times New Roman"/>
        </w:rPr>
        <w:t>,</w:t>
      </w:r>
      <w:r w:rsidR="0066387A">
        <w:rPr>
          <w:rFonts w:eastAsia="Times New Roman"/>
        </w:rPr>
        <w:t xml:space="preserve"> </w:t>
      </w:r>
      <w:r w:rsidR="00BE3D26" w:rsidRPr="005C36F5">
        <w:rPr>
          <w:rFonts w:eastAsia="Times New Roman"/>
        </w:rPr>
        <w:t>ther</w:t>
      </w:r>
      <w:r w:rsidR="00314B44">
        <w:rPr>
          <w:rFonts w:eastAsia="Times New Roman"/>
        </w:rPr>
        <w:t xml:space="preserve">e is huge trade potential left </w:t>
      </w:r>
      <w:r w:rsidR="00BE3D26" w:rsidRPr="005C36F5">
        <w:rPr>
          <w:rFonts w:eastAsia="Times New Roman"/>
        </w:rPr>
        <w:t>to be explored bet</w:t>
      </w:r>
      <w:r w:rsidR="00314B44">
        <w:rPr>
          <w:rFonts w:eastAsia="Times New Roman"/>
        </w:rPr>
        <w:t>ween trade partners of Pakistan</w:t>
      </w:r>
      <w:r w:rsidR="00BE3D26" w:rsidRPr="005C36F5">
        <w:rPr>
          <w:rFonts w:eastAsia="Times New Roman"/>
        </w:rPr>
        <w:t>.</w:t>
      </w:r>
      <w:r w:rsidR="00314B44">
        <w:rPr>
          <w:rFonts w:eastAsia="Times New Roman"/>
        </w:rPr>
        <w:t xml:space="preserve"> </w:t>
      </w:r>
      <w:r w:rsidR="00BE3D26" w:rsidRPr="005C36F5">
        <w:rPr>
          <w:rFonts w:eastAsia="Times New Roman"/>
        </w:rPr>
        <w:t>Similarly visualizing the DEA sc</w:t>
      </w:r>
      <w:r w:rsidR="00314B44">
        <w:rPr>
          <w:rFonts w:eastAsia="Times New Roman"/>
        </w:rPr>
        <w:t>ore of TE for Partner countries</w:t>
      </w:r>
      <w:r w:rsidR="00BE3D26" w:rsidRPr="005C36F5">
        <w:rPr>
          <w:rFonts w:eastAsia="Times New Roman"/>
        </w:rPr>
        <w:t>,</w:t>
      </w:r>
      <w:r w:rsidR="00314B44">
        <w:rPr>
          <w:rFonts w:eastAsia="Times New Roman"/>
        </w:rPr>
        <w:t xml:space="preserve"> </w:t>
      </w:r>
      <w:r w:rsidR="00BE3D26" w:rsidRPr="005C36F5">
        <w:rPr>
          <w:rFonts w:eastAsia="Times New Roman"/>
        </w:rPr>
        <w:t>Policies of trade can be modified according to the potential left.</w:t>
      </w:r>
    </w:p>
    <w:p w:rsidR="00865012" w:rsidRDefault="00865012" w:rsidP="00865012">
      <w:pPr>
        <w:pStyle w:val="Default"/>
        <w:ind w:left="1440"/>
        <w:jc w:val="both"/>
        <w:rPr>
          <w:rFonts w:eastAsia="Times New Roman"/>
          <w:b/>
        </w:rPr>
      </w:pPr>
    </w:p>
    <w:p w:rsidR="00C36189" w:rsidRPr="005C36F5" w:rsidRDefault="00865012" w:rsidP="00865012">
      <w:pPr>
        <w:pStyle w:val="Default"/>
        <w:ind w:left="1440"/>
        <w:jc w:val="both"/>
        <w:rPr>
          <w:rFonts w:eastAsia="Times New Roman"/>
          <w:b/>
        </w:rPr>
      </w:pPr>
      <w:r w:rsidRPr="005C36F5">
        <w:rPr>
          <w:rFonts w:eastAsia="Times New Roman"/>
          <w:b/>
        </w:rPr>
        <w:t>CONCLUSION</w:t>
      </w:r>
    </w:p>
    <w:p w:rsidR="00C36189" w:rsidRDefault="00BE3D26" w:rsidP="00865012">
      <w:pPr>
        <w:pStyle w:val="Default"/>
        <w:ind w:left="1440"/>
        <w:jc w:val="both"/>
        <w:rPr>
          <w:rFonts w:eastAsia="Times New Roman"/>
        </w:rPr>
      </w:pPr>
      <w:r w:rsidRPr="005C36F5">
        <w:rPr>
          <w:rFonts w:eastAsia="Times New Roman"/>
        </w:rPr>
        <w:t>The study has used the combination of models to analyze the trade relations of Pakistan with major trade Partners.  Gravity model of trade is used to select the input and output variable for the estimation of DEA model. DEA methodology is applied to sort the trade partners of Pakistan in reference to the utilization of trade potentials. The study categorized the trade partners ut</w:t>
      </w:r>
      <w:r w:rsidR="0006542A" w:rsidRPr="005C36F5">
        <w:rPr>
          <w:rFonts w:eastAsia="Times New Roman"/>
        </w:rPr>
        <w:t>ilizing 100% trade potentials positioned at</w:t>
      </w:r>
      <w:r w:rsidRPr="005C36F5">
        <w:rPr>
          <w:rFonts w:eastAsia="Times New Roman"/>
        </w:rPr>
        <w:t xml:space="preserve"> optimum frontier and others that are below the 100% optimum frontier. </w:t>
      </w:r>
    </w:p>
    <w:p w:rsidR="00865012" w:rsidRPr="005C36F5" w:rsidRDefault="00865012" w:rsidP="00865012">
      <w:pPr>
        <w:pStyle w:val="Default"/>
        <w:ind w:left="1440"/>
        <w:jc w:val="both"/>
        <w:rPr>
          <w:rFonts w:eastAsia="Times New Roman"/>
        </w:rPr>
      </w:pPr>
    </w:p>
    <w:p w:rsidR="00C36189" w:rsidRPr="005C36F5" w:rsidRDefault="00BE3D26" w:rsidP="00865012">
      <w:pPr>
        <w:pStyle w:val="Default"/>
        <w:ind w:left="1440"/>
        <w:jc w:val="both"/>
        <w:rPr>
          <w:rFonts w:eastAsia="Times New Roman"/>
        </w:rPr>
      </w:pPr>
      <w:r w:rsidRPr="005C36F5">
        <w:rPr>
          <w:rFonts w:eastAsia="Times New Roman"/>
        </w:rPr>
        <w:t xml:space="preserve">The novel combination of models to analyze the trade potentials of partner countries can helps the policy makers to modify the trade policies in favor of the countries where </w:t>
      </w:r>
      <w:r w:rsidR="0006542A" w:rsidRPr="005C36F5">
        <w:rPr>
          <w:rFonts w:eastAsia="Times New Roman"/>
        </w:rPr>
        <w:t xml:space="preserve">opportunity for </w:t>
      </w:r>
      <w:r w:rsidRPr="005C36F5">
        <w:rPr>
          <w:rFonts w:eastAsia="Times New Roman"/>
        </w:rPr>
        <w:t xml:space="preserve">trade expansion exist. The study opens door of research in the contemporary trail to exercise the combinations of models that </w:t>
      </w:r>
      <w:r w:rsidRPr="005C36F5">
        <w:rPr>
          <w:rFonts w:eastAsia="Times New Roman"/>
        </w:rPr>
        <w:lastRenderedPageBreak/>
        <w:t xml:space="preserve">apprehend the weakness of each other and provide more </w:t>
      </w:r>
      <w:r w:rsidR="00C04E7D" w:rsidRPr="005C36F5">
        <w:rPr>
          <w:rFonts w:eastAsia="Times New Roman"/>
        </w:rPr>
        <w:t>reliable and productive results.</w:t>
      </w:r>
    </w:p>
    <w:p w:rsidR="00865012" w:rsidRPr="007F0DCB" w:rsidRDefault="00865012" w:rsidP="007F0DCB">
      <w:pPr>
        <w:pStyle w:val="Default"/>
        <w:ind w:left="2160" w:hanging="720"/>
        <w:jc w:val="both"/>
        <w:rPr>
          <w:b/>
        </w:rPr>
      </w:pPr>
    </w:p>
    <w:p w:rsidR="00C36189" w:rsidRPr="007F0DCB" w:rsidRDefault="00865012" w:rsidP="007F0DCB">
      <w:pPr>
        <w:pStyle w:val="Default"/>
        <w:ind w:left="2160" w:hanging="720"/>
        <w:jc w:val="both"/>
        <w:rPr>
          <w:b/>
        </w:rPr>
      </w:pPr>
      <w:r w:rsidRPr="007F0DCB">
        <w:rPr>
          <w:b/>
        </w:rPr>
        <w:t>REFERENCES</w:t>
      </w: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Ahlfeldt, G., Redding, S., Sturm, D., Wolf, N., 2012. The economics of density: evidence from the Berlin Wall, manuscript.</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Atkin, David, Benjamin Faber, and Marco Gonzalez-Navarro 1973. "Retail globalization and household</w:t>
      </w: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 xml:space="preserve">                  Welfare: Evidence from Mexico." Journal of Polit</w:t>
      </w:r>
      <w:r w:rsidR="00F624AE" w:rsidRPr="007F0DCB">
        <w:rPr>
          <w:rFonts w:ascii="Times New Roman" w:hAnsi="Times New Roman" w:cs="Times New Roman"/>
          <w:sz w:val="24"/>
          <w:szCs w:val="24"/>
        </w:rPr>
        <w:t>ical Economy 126.1 (2018): 1-73.</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Anderson, J., 2011. The Gravity Model. The Annual Review of Economics 3 (1), 133–160.</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Anderson, J. E., van Wincoop, E., 2003. Gravity with Gravitas: A Solution to the Border Puzzle. The American Economic Review 93 (1), 170–192.</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Baier, S., Bergstrand, J., 2007. Do free trade agreements actually increase members’ international trade? Journal of International Economics 71 (1), 72–95.</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Baldwin, R., 2006. The euro’s trade effects. Tech. rep., European Central Bank.</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 xml:space="preserve">Barros, Carlos Pestana, &amp; Mascarenhas, Maria. 2005. Technical and allocative efficiency in a chain of small hotels. </w:t>
      </w:r>
      <w:r w:rsidRPr="007F0DCB">
        <w:rPr>
          <w:rFonts w:ascii="Times New Roman" w:hAnsi="Times New Roman" w:cs="Times New Roman"/>
          <w:iCs/>
          <w:sz w:val="24"/>
          <w:szCs w:val="24"/>
        </w:rPr>
        <w:t xml:space="preserve">International Journal of Hospitality Management, 24 </w:t>
      </w:r>
      <w:r w:rsidRPr="007F0DCB">
        <w:rPr>
          <w:rFonts w:ascii="Times New Roman" w:hAnsi="Times New Roman" w:cs="Times New Roman"/>
          <w:sz w:val="24"/>
          <w:szCs w:val="24"/>
        </w:rPr>
        <w:t>(3), 415-436.</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 xml:space="preserve">Berger, Allen, &amp; Humphrey, David B. 1997. Efficiency of financial institutions: International survey and directions for future research. </w:t>
      </w:r>
      <w:r w:rsidRPr="007F0DCB">
        <w:rPr>
          <w:rFonts w:ascii="Times New Roman" w:hAnsi="Times New Roman" w:cs="Times New Roman"/>
          <w:iCs/>
          <w:sz w:val="24"/>
          <w:szCs w:val="24"/>
        </w:rPr>
        <w:t xml:space="preserve">European journal of Operational Research, 98 </w:t>
      </w:r>
      <w:r w:rsidRPr="007F0DCB">
        <w:rPr>
          <w:rFonts w:ascii="Times New Roman" w:hAnsi="Times New Roman" w:cs="Times New Roman"/>
          <w:sz w:val="24"/>
          <w:szCs w:val="24"/>
        </w:rPr>
        <w:t xml:space="preserve">(2), 175-212. </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 xml:space="preserve">Berger, Allen, &amp; Mester, Loretta. 1997. Inside the black box: What explains differences in the efficiencies of financial institutions? </w:t>
      </w:r>
      <w:r w:rsidRPr="007F0DCB">
        <w:rPr>
          <w:rFonts w:ascii="Times New Roman" w:hAnsi="Times New Roman" w:cs="Times New Roman"/>
          <w:iCs/>
          <w:sz w:val="24"/>
          <w:szCs w:val="24"/>
        </w:rPr>
        <w:t xml:space="preserve">Journal of Banking &amp; Finance, 21 </w:t>
      </w:r>
      <w:r w:rsidRPr="007F0DCB">
        <w:rPr>
          <w:rFonts w:ascii="Times New Roman" w:hAnsi="Times New Roman" w:cs="Times New Roman"/>
          <w:sz w:val="24"/>
          <w:szCs w:val="24"/>
        </w:rPr>
        <w:t>(7), 895-947.</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Bergstrand, J., 1985. The gravity equation in international trade: some microeconomic foundations and empirical evidence. The Review of Economics and Statistics 67 (3), 474–481.</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Bergstrand, J. H., Egger, P., Larch, M., 2013. Gravity Redux: Estimation of gravity-equation coefficients, elasticities of substitution, and general equilibrium comparative statics under asymmetric bilateral trade costs. Journal of International Economics 89 (1), 110–121.</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 xml:space="preserve">Charnes, Abraham, Cooper, William W, &amp; Rhodes, Edwardo. 1978. Measuring the efficiency of decision making units. </w:t>
      </w:r>
      <w:r w:rsidRPr="007F0DCB">
        <w:rPr>
          <w:rFonts w:ascii="Times New Roman" w:hAnsi="Times New Roman" w:cs="Times New Roman"/>
          <w:iCs/>
          <w:sz w:val="24"/>
          <w:szCs w:val="24"/>
        </w:rPr>
        <w:t xml:space="preserve">European Journal of Operational Research, 2 </w:t>
      </w:r>
      <w:r w:rsidRPr="007F0DCB">
        <w:rPr>
          <w:rFonts w:ascii="Times New Roman" w:hAnsi="Times New Roman" w:cs="Times New Roman"/>
          <w:sz w:val="24"/>
          <w:szCs w:val="24"/>
        </w:rPr>
        <w:t>(6), 429-444.</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lastRenderedPageBreak/>
        <w:t>Cipollina, M., Salvatici, L., 2010. Reciprocal Trade Agreements in Gravity Models: A Meta-Analysis. Review of International Economics 18 (1), 63–80.</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De Sousa, J., Lochard, J., 2011. Does the Single Currency Affect Foreign Direct Investment? The Scandinavian Journal of Economics 113 (3), 553–578.</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J., Mayer, T., Zignago, S., November 2012. Market access in global and regional trade. Regional Science and Urban Economics 42 (6), 1037–1052.</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Deardorff, A., 1984. Testing trade theories and predicting trade flows. In: Handbook of international economics. Vol. 1. Elsevier, pp. 467–517.</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Eaton, J., Kortum, S., 2001. Trade in capital goods. European Economic Review 45 (7), 1195–1235.</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Eaton, J., Kortum, S., 2002. Technology, Geography, and Trade. Econometrica 70 (5), 1741–1779.</w:t>
      </w:r>
    </w:p>
    <w:p w:rsidR="00C36189" w:rsidRPr="007F0DCB" w:rsidRDefault="00C36189"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Eaton, J., Kortum, S., Kramarz, F., 2004. Dissecting Trade: Firms, Industries, and Export Desti-nations. The American Economic Review 94 (2), pp. 150–154.</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Eaton, J., Kortum, S., Kramarz, F., 2011a. An Anatomy of International Trade: Evidence from</w:t>
      </w:r>
      <w:r w:rsidR="00F624AE" w:rsidRPr="007F0DCB">
        <w:rPr>
          <w:rFonts w:ascii="Times New Roman" w:hAnsi="Times New Roman" w:cs="Times New Roman"/>
          <w:sz w:val="24"/>
          <w:szCs w:val="24"/>
        </w:rPr>
        <w:t xml:space="preserve"> </w:t>
      </w:r>
      <w:r w:rsidRPr="007F0DCB">
        <w:rPr>
          <w:rFonts w:ascii="Times New Roman" w:hAnsi="Times New Roman" w:cs="Times New Roman"/>
          <w:sz w:val="24"/>
          <w:szCs w:val="24"/>
        </w:rPr>
        <w:t>French Firms. Econometrica 79 (5), 1453–1498.</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Eaton, J., Tamura, A., 1994. Bilateralism and Regionalism in Japanese and U.S. Trade and Direct Foreign Investment Patterns. Journal of the Japanese and International Economies 8 (4), 478 –510.</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Egger, P., Larch, M., 2011. An assessment of the Europe agreement’s effects on bilateral trade,GDP, and welfare. European Economic Review 55 (2), 263 – 279.</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Egger, P., Larch, M., Staub, K. E., Winkelmann, R., August 2011. The Trade Effects of Endogenous Preferential Trade Agreements. American Economic Journal: Economic Policy 3 (3), 113–43.</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Feenstra, R. C., 1994. New Product Varieties and the Measurement of International Prices. The American Economic Review 84 (1), 157–177.</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Feenstra, R. C., 2003. A homothetic utility function for monopolistic competition models, without</w:t>
      </w:r>
      <w:r w:rsidR="00C04E7D" w:rsidRPr="007F0DCB">
        <w:rPr>
          <w:rFonts w:ascii="Times New Roman" w:hAnsi="Times New Roman" w:cs="Times New Roman"/>
          <w:sz w:val="24"/>
          <w:szCs w:val="24"/>
        </w:rPr>
        <w:t xml:space="preserve"> </w:t>
      </w:r>
      <w:r w:rsidRPr="007F0DCB">
        <w:rPr>
          <w:rFonts w:ascii="Times New Roman" w:hAnsi="Times New Roman" w:cs="Times New Roman"/>
          <w:sz w:val="24"/>
          <w:szCs w:val="24"/>
        </w:rPr>
        <w:t>constant price elasticity. Economics Letters 78 (1), 79–86.</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Feenstra, R. C., 2004. Advanced International Trade: Theory and Evidence. Princeton Universit Press, Princeton, New Jersey.</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lastRenderedPageBreak/>
        <w:t>Feenstra, R. C., Markusen, J. R., Rose, A. K., 2001. Using the gravity equation to differentiate</w:t>
      </w:r>
      <w:r w:rsidR="00C04E7D" w:rsidRPr="007F0DCB">
        <w:rPr>
          <w:rFonts w:ascii="Times New Roman" w:hAnsi="Times New Roman" w:cs="Times New Roman"/>
          <w:sz w:val="24"/>
          <w:szCs w:val="24"/>
        </w:rPr>
        <w:t xml:space="preserve"> </w:t>
      </w:r>
      <w:r w:rsidRPr="007F0DCB">
        <w:rPr>
          <w:rFonts w:ascii="Times New Roman" w:hAnsi="Times New Roman" w:cs="Times New Roman"/>
          <w:sz w:val="24"/>
          <w:szCs w:val="24"/>
        </w:rPr>
        <w:t>among alternative theories of trade. Canadian Journal of Economics 34 (2), 430–447.</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Frankel, J., 2010. The Estimated Trade Effects of the Euro: Why Are They Below Those From Historical Monetary Unions Among Smaller Countries? In: Alesina, A., Giavazzi, F. (Eds.), Europe and the Euro. University of Chicago Press, Ch. 5, pp. 169–212.</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Frankel, J., Stein, E., Wei, S., 1997. Regional trading blocs in the world economic system. Institute for International Economics (Washington, DC).</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 xml:space="preserve">Gutiérrez et al., 2011). Gutierrez-Nieto, Begona, Serrano, Cinca, Carlos, &amp; Mar Molinero, Cecilio (2009), Microfinance institutions and efficiency. </w:t>
      </w:r>
      <w:r w:rsidRPr="007F0DCB">
        <w:rPr>
          <w:rFonts w:ascii="Times New Roman" w:hAnsi="Times New Roman" w:cs="Times New Roman"/>
          <w:iCs/>
          <w:sz w:val="24"/>
          <w:szCs w:val="24"/>
        </w:rPr>
        <w:t xml:space="preserve">Omega, 35 </w:t>
      </w:r>
      <w:r w:rsidRPr="007F0DCB">
        <w:rPr>
          <w:rFonts w:ascii="Times New Roman" w:hAnsi="Times New Roman" w:cs="Times New Roman"/>
          <w:sz w:val="24"/>
          <w:szCs w:val="24"/>
        </w:rPr>
        <w:t>(2), 131-142.</w:t>
      </w:r>
    </w:p>
    <w:p w:rsidR="00314B44" w:rsidRDefault="00314B44" w:rsidP="0066387A">
      <w:pPr>
        <w:pStyle w:val="Default"/>
        <w:ind w:left="2160" w:hanging="720"/>
        <w:jc w:val="both"/>
      </w:pPr>
    </w:p>
    <w:p w:rsidR="00C36189" w:rsidRPr="007F0DCB" w:rsidRDefault="00BE3D26" w:rsidP="0066387A">
      <w:pPr>
        <w:pStyle w:val="Default"/>
        <w:ind w:left="2160" w:hanging="720"/>
        <w:jc w:val="both"/>
      </w:pPr>
      <w:r w:rsidRPr="007F0DCB">
        <w:t xml:space="preserve">Gutiérrez-Nieto, Begoña, Serrano-Cinca, Carlos, &amp; Molinero, C Mar. (2011). Social efficiency in microfinance institutions. </w:t>
      </w:r>
      <w:r w:rsidRPr="007F0DCB">
        <w:rPr>
          <w:iCs/>
        </w:rPr>
        <w:t xml:space="preserve">Journal of the Operational Research Society, 60 </w:t>
      </w:r>
      <w:r w:rsidRPr="007F0DCB">
        <w:t xml:space="preserve">(1), 104-119. </w:t>
      </w:r>
    </w:p>
    <w:p w:rsidR="00314B44" w:rsidRDefault="00314B44" w:rsidP="0066387A">
      <w:pPr>
        <w:pStyle w:val="Default"/>
        <w:ind w:left="2160" w:hanging="720"/>
        <w:jc w:val="both"/>
      </w:pPr>
    </w:p>
    <w:p w:rsidR="00C36189" w:rsidRPr="007F0DCB" w:rsidRDefault="00BE3D26" w:rsidP="0066387A">
      <w:pPr>
        <w:pStyle w:val="Default"/>
        <w:ind w:left="2160" w:hanging="720"/>
        <w:jc w:val="both"/>
      </w:pPr>
      <w:r w:rsidRPr="007F0DCB">
        <w:t xml:space="preserve">Gutiérrez, Serrano-Cinca, &amp; Molinero, Mar. (2007). Social efficiency in microfinance institutions. </w:t>
      </w:r>
      <w:r w:rsidRPr="007F0DCB">
        <w:rPr>
          <w:iCs/>
        </w:rPr>
        <w:t xml:space="preserve">Journal of the Operational Research Society, 60 </w:t>
      </w:r>
      <w:r w:rsidRPr="007F0DCB">
        <w:t xml:space="preserve">(1), 104-119. </w:t>
      </w:r>
    </w:p>
    <w:p w:rsidR="00314B44" w:rsidRDefault="00314B44" w:rsidP="0066387A">
      <w:pPr>
        <w:pStyle w:val="Default"/>
        <w:ind w:left="2160" w:hanging="720"/>
        <w:jc w:val="both"/>
      </w:pPr>
    </w:p>
    <w:p w:rsidR="00C36189" w:rsidRPr="007F0DCB" w:rsidRDefault="00BE3D26" w:rsidP="0066387A">
      <w:pPr>
        <w:pStyle w:val="Default"/>
        <w:ind w:left="2160" w:hanging="720"/>
        <w:jc w:val="both"/>
      </w:pPr>
      <w:r w:rsidRPr="007F0DCB">
        <w:t xml:space="preserve">Gutierrez, Jorge, &amp; Goitisolo Lezama, Beatriz. (2011). Profitability and Social Performance of Microfinance Institutions: Empirical Evidence of Relations between Different Types of Variables. </w:t>
      </w:r>
      <w:r w:rsidRPr="007F0DCB">
        <w:rPr>
          <w:iCs/>
        </w:rPr>
        <w:t xml:space="preserve">reviSta de economía mundial </w:t>
      </w:r>
      <w:r w:rsidRPr="007F0DCB">
        <w:t xml:space="preserve">(27), 189-214. </w:t>
      </w:r>
    </w:p>
    <w:p w:rsidR="00314B44" w:rsidRDefault="00314B44" w:rsidP="0066387A">
      <w:pPr>
        <w:pStyle w:val="Default"/>
        <w:ind w:left="2160" w:hanging="720"/>
        <w:jc w:val="both"/>
      </w:pPr>
    </w:p>
    <w:p w:rsidR="00C36189" w:rsidRPr="007F0DCB" w:rsidRDefault="00BE3D26" w:rsidP="0066387A">
      <w:pPr>
        <w:pStyle w:val="Default"/>
        <w:ind w:left="2160" w:hanging="720"/>
        <w:jc w:val="both"/>
      </w:pPr>
      <w:r w:rsidRPr="007F0DCB">
        <w:t xml:space="preserve">Gutierrez, Nieto, Begona, Serrano, Cinca, Carlos, &amp; Mar Molinero, Cecilio. (2007). Microfinance institutions and efficiency. </w:t>
      </w:r>
      <w:r w:rsidRPr="007F0DCB">
        <w:rPr>
          <w:iCs/>
        </w:rPr>
        <w:t xml:space="preserve">Omega, 35 </w:t>
      </w:r>
      <w:r w:rsidRPr="007F0DCB">
        <w:t>(2), 131-142.</w:t>
      </w:r>
    </w:p>
    <w:p w:rsidR="00314B44" w:rsidRDefault="00314B44" w:rsidP="0066387A">
      <w:pPr>
        <w:pStyle w:val="Default"/>
        <w:ind w:left="2160" w:hanging="720"/>
        <w:jc w:val="both"/>
      </w:pPr>
    </w:p>
    <w:p w:rsidR="00C36189" w:rsidRPr="007F0DCB" w:rsidRDefault="00BE3D26" w:rsidP="0066387A">
      <w:pPr>
        <w:pStyle w:val="Default"/>
        <w:ind w:left="2160" w:hanging="720"/>
        <w:jc w:val="both"/>
      </w:pPr>
      <w:r w:rsidRPr="007F0DCB">
        <w:t xml:space="preserve">Haq, Skully, Michael, &amp; Pathan, Shams. (2010). Efficiency of microfinance institutions: A data envelopment analysis. </w:t>
      </w:r>
      <w:r w:rsidRPr="007F0DCB">
        <w:rPr>
          <w:iCs/>
        </w:rPr>
        <w:t xml:space="preserve">Asia-Pacific Financial Markets, 17 </w:t>
      </w:r>
      <w:r w:rsidRPr="007F0DCB">
        <w:t>(1), 63-97.</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Head, K., Mayer, T., 2000. Non-Europe: the magnitude and causes of market fragmentation in the EU. Review of World Economics 136 (2), 284–314.</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Head, K., Mayer, T., 2004a. The empirics of agglomeration and trade. Handbook of regional andurban economics 4, 2609–2669.</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Head, K., Mayer, T., 2004b. Market potential and the location of Japanese investment in the</w:t>
      </w:r>
      <w:r w:rsidR="00C04E7D" w:rsidRPr="007F0DCB">
        <w:rPr>
          <w:rFonts w:ascii="Times New Roman" w:hAnsi="Times New Roman" w:cs="Times New Roman"/>
          <w:sz w:val="24"/>
          <w:szCs w:val="24"/>
        </w:rPr>
        <w:t xml:space="preserve"> </w:t>
      </w:r>
      <w:r w:rsidRPr="007F0DCB">
        <w:rPr>
          <w:rFonts w:ascii="Times New Roman" w:hAnsi="Times New Roman" w:cs="Times New Roman"/>
          <w:sz w:val="24"/>
          <w:szCs w:val="24"/>
        </w:rPr>
        <w:t>European Union. Review of Economics and Statistics 86 (4), 959–972.</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lastRenderedPageBreak/>
        <w:t>Head, K., Mayer, T., Ries, J., 2009. How remote is the offshoring threat? European Economic</w:t>
      </w:r>
      <w:r w:rsidR="00C04E7D" w:rsidRPr="007F0DCB">
        <w:rPr>
          <w:rFonts w:ascii="Times New Roman" w:hAnsi="Times New Roman" w:cs="Times New Roman"/>
          <w:sz w:val="24"/>
          <w:szCs w:val="24"/>
        </w:rPr>
        <w:t xml:space="preserve"> </w:t>
      </w:r>
      <w:r w:rsidRPr="007F0DCB">
        <w:rPr>
          <w:rFonts w:ascii="Times New Roman" w:hAnsi="Times New Roman" w:cs="Times New Roman"/>
          <w:sz w:val="24"/>
          <w:szCs w:val="24"/>
        </w:rPr>
        <w:t>Review 53 (4), 429–444.</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 xml:space="preserve">Head, K., Mayer, T., Ries, J., 2010. The erosion of colonial trade linkages after </w:t>
      </w:r>
      <w:r w:rsidR="00C04E7D" w:rsidRPr="007F0DCB">
        <w:rPr>
          <w:rFonts w:ascii="Times New Roman" w:hAnsi="Times New Roman" w:cs="Times New Roman"/>
          <w:sz w:val="24"/>
          <w:szCs w:val="24"/>
        </w:rPr>
        <w:t>independence. Journal</w:t>
      </w:r>
      <w:r w:rsidRPr="007F0DCB">
        <w:rPr>
          <w:rFonts w:ascii="Times New Roman" w:hAnsi="Times New Roman" w:cs="Times New Roman"/>
          <w:sz w:val="24"/>
          <w:szCs w:val="24"/>
        </w:rPr>
        <w:t xml:space="preserve"> of International Economics 81 (1), 1–14.</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Head, K., Ries, J., 2001. Increasing returns versus national product differentiation as an explanation for the pattern of US-Canada trade. American Economic Review 91 (4), 858–876.</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Head, K., Ries, J., 2008. FDI as an Outcome of the Market for Corporate Control: Theory andEvidence. Journal of International Economics 74 (1), 2–20.</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Helpman, E., Melitz, M., Rubinstein, Y., 2008. Estimating Trade Flows: Trading Partners and Trading Volumes. Quarterly Journal of Economics 123 (2), 441–487.</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Okawa, Y., Van Wincoop, E., 2010. Gravity in international finance. Working Paper 7, Hong Kong Institute for Monetary Research.</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Okawa, Y., van Wincoop, E., 2012. Gravity in International Finance. Journal of International</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Economics 87 (2), 205 – 215.McCallum, J., 1995. National borders matter: Canada-US regional trade patterns. The American Economic Review 85 (3), 615–623.</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Portes, R., Rey, H., 2005. The determinants of cross-border equity flows. Journal of International Economics 65 (2), 269 – 296.</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Portes, R., Rey, H., Oh, Y., 2001. Information and capital flows: The determinants of transactions in financial assets. European Economic Review 45 (4ˆa“6), 783 – 796,</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Krugman, P., 1979. Increasing Returns, Monopolistic Competition, and International Trade. Journal of International Economics 4, 469–479.</w:t>
      </w:r>
    </w:p>
    <w:p w:rsidR="00314B44" w:rsidRDefault="00314B44" w:rsidP="0066387A">
      <w:pPr>
        <w:autoSpaceDE w:val="0"/>
        <w:autoSpaceDN w:val="0"/>
        <w:adjustRightInd w:val="0"/>
        <w:spacing w:after="0" w:line="240" w:lineRule="auto"/>
        <w:ind w:left="2160" w:hanging="720"/>
        <w:jc w:val="both"/>
        <w:rPr>
          <w:rFonts w:ascii="Times New Roman" w:hAnsi="Times New Roman" w:cs="Times New Roman"/>
          <w:sz w:val="24"/>
          <w:szCs w:val="24"/>
        </w:rPr>
      </w:pPr>
    </w:p>
    <w:p w:rsidR="00C36189" w:rsidRPr="007F0DCB" w:rsidRDefault="00BE3D26" w:rsidP="0066387A">
      <w:pPr>
        <w:autoSpaceDE w:val="0"/>
        <w:autoSpaceDN w:val="0"/>
        <w:adjustRightInd w:val="0"/>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Krugman, P., 1995. Increasing returns, imperfect competition and</w:t>
      </w:r>
      <w:r w:rsidR="00A551D6" w:rsidRPr="007F0DCB">
        <w:rPr>
          <w:rFonts w:ascii="Times New Roman" w:hAnsi="Times New Roman" w:cs="Times New Roman"/>
          <w:sz w:val="24"/>
          <w:szCs w:val="24"/>
        </w:rPr>
        <w:t xml:space="preserve"> the positive theory of interna</w:t>
      </w:r>
      <w:r w:rsidRPr="007F0DCB">
        <w:rPr>
          <w:rFonts w:ascii="Times New Roman" w:hAnsi="Times New Roman" w:cs="Times New Roman"/>
          <w:sz w:val="24"/>
          <w:szCs w:val="24"/>
        </w:rPr>
        <w:t>tional trade. Handbook of international economics 3, 1243–1277.</w:t>
      </w:r>
    </w:p>
    <w:p w:rsidR="00314B44" w:rsidRDefault="00314B44" w:rsidP="0066387A">
      <w:pPr>
        <w:spacing w:after="0" w:line="240" w:lineRule="auto"/>
        <w:ind w:left="2160" w:hanging="720"/>
        <w:jc w:val="both"/>
        <w:rPr>
          <w:rFonts w:ascii="Times New Roman" w:hAnsi="Times New Roman" w:cs="Times New Roman"/>
          <w:sz w:val="24"/>
          <w:szCs w:val="24"/>
        </w:rPr>
      </w:pPr>
    </w:p>
    <w:p w:rsidR="00C36189" w:rsidRPr="007F0DCB" w:rsidRDefault="00BE3D26" w:rsidP="0066387A">
      <w:pPr>
        <w:spacing w:after="0" w:line="240" w:lineRule="auto"/>
        <w:ind w:left="2160" w:hanging="720"/>
        <w:jc w:val="both"/>
        <w:rPr>
          <w:rFonts w:ascii="Times New Roman" w:hAnsi="Times New Roman" w:cs="Times New Roman"/>
          <w:sz w:val="24"/>
          <w:szCs w:val="24"/>
        </w:rPr>
      </w:pPr>
      <w:r w:rsidRPr="007F0DCB">
        <w:rPr>
          <w:rFonts w:ascii="Times New Roman" w:hAnsi="Times New Roman" w:cs="Times New Roman"/>
          <w:sz w:val="24"/>
          <w:szCs w:val="24"/>
        </w:rPr>
        <w:t>Krugman, P., 1997. Development, geography, and economic theory. Vol. 6. The MIT Press.</w:t>
      </w:r>
    </w:p>
    <w:p w:rsidR="00342AA6" w:rsidRPr="007F0DCB" w:rsidRDefault="00342AA6" w:rsidP="007F0DCB">
      <w:pPr>
        <w:autoSpaceDE w:val="0"/>
        <w:autoSpaceDN w:val="0"/>
        <w:adjustRightInd w:val="0"/>
        <w:spacing w:after="0" w:line="240" w:lineRule="auto"/>
        <w:ind w:left="3600" w:hanging="720"/>
        <w:jc w:val="both"/>
        <w:rPr>
          <w:rFonts w:ascii="Times New Roman" w:eastAsia="Calibri" w:hAnsi="Times New Roman" w:cs="Times New Roman"/>
          <w:b/>
          <w:color w:val="333333"/>
          <w:sz w:val="24"/>
          <w:szCs w:val="24"/>
        </w:rPr>
      </w:pPr>
    </w:p>
    <w:p w:rsidR="00E43860" w:rsidRDefault="00E43860"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p w:rsidR="00E43860" w:rsidRDefault="00E43860"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p w:rsidR="00E43860" w:rsidRDefault="00E43860"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p w:rsidR="00E43860" w:rsidRDefault="00E43860"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p w:rsidR="00E43860" w:rsidRDefault="00E43860"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p w:rsidR="00E43860" w:rsidRDefault="00E43860"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p w:rsidR="00E43860" w:rsidRDefault="00E43860"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p w:rsidR="00C36189" w:rsidRPr="005C36F5" w:rsidRDefault="00BE3D26"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r w:rsidRPr="005C36F5">
        <w:rPr>
          <w:rFonts w:ascii="Times New Roman" w:eastAsia="Calibri" w:hAnsi="Times New Roman" w:cs="Times New Roman"/>
          <w:b/>
          <w:color w:val="333333"/>
          <w:sz w:val="24"/>
          <w:szCs w:val="24"/>
        </w:rPr>
        <w:t>APPENDIX</w:t>
      </w:r>
    </w:p>
    <w:p w:rsidR="00C36189" w:rsidRPr="005C36F5" w:rsidRDefault="00BE3D26"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r w:rsidRPr="005C36F5">
        <w:rPr>
          <w:rFonts w:ascii="Times New Roman" w:eastAsia="Calibri" w:hAnsi="Times New Roman" w:cs="Times New Roman"/>
          <w:b/>
          <w:color w:val="333333"/>
          <w:sz w:val="24"/>
          <w:szCs w:val="24"/>
        </w:rPr>
        <w:t>Partner -Countries- Trade-Data</w:t>
      </w:r>
    </w:p>
    <w:tbl>
      <w:tblPr>
        <w:tblStyle w:val="TableGrid"/>
        <w:tblpPr w:leftFromText="180" w:rightFromText="180" w:vertAnchor="text" w:horzAnchor="margin" w:tblpX="1548" w:tblpY="4"/>
        <w:tblW w:w="7668" w:type="dxa"/>
        <w:tblLayout w:type="fixed"/>
        <w:tblLook w:val="04A0" w:firstRow="1" w:lastRow="0" w:firstColumn="1" w:lastColumn="0" w:noHBand="0" w:noVBand="1"/>
      </w:tblPr>
      <w:tblGrid>
        <w:gridCol w:w="2116"/>
        <w:gridCol w:w="2065"/>
        <w:gridCol w:w="1417"/>
        <w:gridCol w:w="2070"/>
      </w:tblGrid>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b/>
                <w:color w:val="000000"/>
                <w:sz w:val="24"/>
                <w:szCs w:val="24"/>
              </w:rPr>
            </w:pPr>
            <w:r w:rsidRPr="005C36F5">
              <w:rPr>
                <w:rFonts w:ascii="Times New Roman" w:hAnsi="Times New Roman" w:cs="Times New Roman"/>
                <w:b/>
                <w:color w:val="000000"/>
                <w:sz w:val="24"/>
                <w:szCs w:val="24"/>
              </w:rPr>
              <w:t>Country</w:t>
            </w:r>
          </w:p>
        </w:tc>
        <w:tc>
          <w:tcPr>
            <w:tcW w:w="2065" w:type="dxa"/>
          </w:tcPr>
          <w:p w:rsidR="00C36189" w:rsidRPr="005C36F5" w:rsidRDefault="00BE3D26" w:rsidP="007F0DCB">
            <w:pPr>
              <w:autoSpaceDE w:val="0"/>
              <w:autoSpaceDN w:val="0"/>
              <w:adjustRightInd w:val="0"/>
              <w:jc w:val="both"/>
              <w:rPr>
                <w:rFonts w:ascii="Times New Roman" w:hAnsi="Times New Roman" w:cs="Times New Roman"/>
                <w:b/>
                <w:color w:val="000000"/>
                <w:sz w:val="24"/>
                <w:szCs w:val="24"/>
              </w:rPr>
            </w:pPr>
            <w:r w:rsidRPr="005C36F5">
              <w:rPr>
                <w:rFonts w:ascii="Times New Roman" w:hAnsi="Times New Roman" w:cs="Times New Roman"/>
                <w:b/>
                <w:color w:val="000000"/>
                <w:sz w:val="24"/>
                <w:szCs w:val="24"/>
              </w:rPr>
              <w:t>Log of Trade flows</w:t>
            </w:r>
          </w:p>
        </w:tc>
        <w:tc>
          <w:tcPr>
            <w:tcW w:w="1417" w:type="dxa"/>
          </w:tcPr>
          <w:p w:rsidR="00C36189" w:rsidRPr="005C36F5" w:rsidRDefault="00BE3D26" w:rsidP="007F0DCB">
            <w:pPr>
              <w:autoSpaceDE w:val="0"/>
              <w:autoSpaceDN w:val="0"/>
              <w:adjustRightInd w:val="0"/>
              <w:jc w:val="both"/>
              <w:rPr>
                <w:rFonts w:ascii="Times New Roman" w:hAnsi="Times New Roman" w:cs="Times New Roman"/>
                <w:b/>
                <w:color w:val="000000"/>
                <w:sz w:val="24"/>
                <w:szCs w:val="24"/>
              </w:rPr>
            </w:pPr>
            <w:r w:rsidRPr="005C36F5">
              <w:rPr>
                <w:rFonts w:ascii="Times New Roman" w:hAnsi="Times New Roman" w:cs="Times New Roman"/>
                <w:b/>
                <w:color w:val="000000"/>
                <w:sz w:val="24"/>
                <w:szCs w:val="24"/>
              </w:rPr>
              <w:t>country</w:t>
            </w:r>
          </w:p>
        </w:tc>
        <w:tc>
          <w:tcPr>
            <w:tcW w:w="2070" w:type="dxa"/>
          </w:tcPr>
          <w:p w:rsidR="00C36189" w:rsidRPr="005C36F5" w:rsidRDefault="00BE3D26" w:rsidP="007F0DCB">
            <w:pPr>
              <w:autoSpaceDE w:val="0"/>
              <w:autoSpaceDN w:val="0"/>
              <w:adjustRightInd w:val="0"/>
              <w:jc w:val="both"/>
              <w:rPr>
                <w:rFonts w:ascii="Times New Roman" w:hAnsi="Times New Roman" w:cs="Times New Roman"/>
                <w:b/>
                <w:color w:val="000000"/>
                <w:sz w:val="24"/>
                <w:szCs w:val="24"/>
              </w:rPr>
            </w:pPr>
            <w:r w:rsidRPr="005C36F5">
              <w:rPr>
                <w:rFonts w:ascii="Times New Roman" w:hAnsi="Times New Roman" w:cs="Times New Roman"/>
                <w:b/>
                <w:color w:val="000000"/>
                <w:sz w:val="24"/>
                <w:szCs w:val="24"/>
              </w:rPr>
              <w:t>Log of trade flows</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United States</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15.15116930311558</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Madagascar</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11.55801354678615</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AFG</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14.11408360783141</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Malaysia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11.96719978468547</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Argentina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10.71774555884513</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Mexico</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11.53734486951097</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Australia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12.41457757310084</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Mozambique</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11.04164101582477</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Bangladesh</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13.57194106013081</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Netherlands</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13.75661157138255</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Belgium</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13.40968738575881</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New Zealand</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10.50925055935364</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Canada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12.51142271563536</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Nigeria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10.77398562323661</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Chile</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11.153718747367</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Norway</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10.94174809881949</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China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14.41328550679471</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Oman</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11.83684061896831</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Denmark</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12.06143985983448</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PHL</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11.6254770627086</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Egypt, Arab Rep.</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11.32263625052697</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Poland</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12.36661712708786</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Finland</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10.22803178972048</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Portugal</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12.16515168777989</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France</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13.00993796402438</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Qatar</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11.53477501549676</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Germany</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14.08587656905081</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Romania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10.19481297990271</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Ghana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10.56869811440305</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Russian Federation</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11.96457416849399</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Greece</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11.31563239224613</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Saudi Arabia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12.66451596109563</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Hong Kong SAR, China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11.58883039305969</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Senegal</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10.69543880215465</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Hungary</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9.360999248261295</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Singapore</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11.58245152761884</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India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12.85591036538946</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Slovenia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11.04445665728306</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Indonesia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12.62115469559027</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South Africa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12.09040923687645</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Iran, Islamic Rep.</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10.03337481337055</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Spain</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13.7352739981693</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lastRenderedPageBreak/>
              <w:t>Iraq</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10.07382087001802</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Sri Lanka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12.77855953008729</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Ireland</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11.04184926072152</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Sweden</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11.83150282481005</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Italy</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13.5562124879145</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Switzerland</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9.747184558140728</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Japan</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12.28307072301748</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Tanzania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11.64355013717313</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Jordan</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10.38964131349647</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Thailand</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12.32606213406697</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Kazakhstan</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11.37250180370741</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Turkey</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12.62068247955092</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Kenya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12.53208681527924</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Uganda</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7.294377299288821</w:t>
            </w:r>
          </w:p>
        </w:tc>
      </w:tr>
      <w:tr w:rsidR="00C36189" w:rsidRPr="005C36F5" w:rsidTr="007F0DCB">
        <w:trPr>
          <w:trHeight w:val="211"/>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Kuwait</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11.48758714395503</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United Arab Emirates</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13.79894917216505</w:t>
            </w:r>
          </w:p>
        </w:tc>
      </w:tr>
      <w:tr w:rsidR="00C36189" w:rsidRPr="005C36F5" w:rsidTr="007F0DCB">
        <w:trPr>
          <w:trHeight w:val="82"/>
        </w:trPr>
        <w:tc>
          <w:tcPr>
            <w:tcW w:w="2116"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Lithuania</w:t>
            </w:r>
          </w:p>
        </w:tc>
        <w:tc>
          <w:tcPr>
            <w:tcW w:w="2065"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10.61633931637041</w:t>
            </w:r>
          </w:p>
        </w:tc>
        <w:tc>
          <w:tcPr>
            <w:tcW w:w="1417"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United Kingdom</w:t>
            </w:r>
          </w:p>
        </w:tc>
        <w:tc>
          <w:tcPr>
            <w:tcW w:w="2070" w:type="dxa"/>
          </w:tcPr>
          <w:p w:rsidR="00C36189" w:rsidRPr="005C36F5" w:rsidRDefault="00BE3D26" w:rsidP="007F0DCB">
            <w:pPr>
              <w:autoSpaceDE w:val="0"/>
              <w:autoSpaceDN w:val="0"/>
              <w:adjustRightInd w:val="0"/>
              <w:jc w:val="both"/>
              <w:rPr>
                <w:rFonts w:ascii="Times New Roman" w:hAnsi="Times New Roman" w:cs="Times New Roman"/>
                <w:color w:val="000000"/>
                <w:sz w:val="24"/>
                <w:szCs w:val="24"/>
              </w:rPr>
            </w:pPr>
            <w:r w:rsidRPr="005C36F5">
              <w:rPr>
                <w:rFonts w:ascii="Times New Roman" w:hAnsi="Times New Roman" w:cs="Times New Roman"/>
                <w:color w:val="000000"/>
                <w:sz w:val="24"/>
                <w:szCs w:val="24"/>
              </w:rPr>
              <w:t>14.36284379467648</w:t>
            </w:r>
          </w:p>
        </w:tc>
      </w:tr>
    </w:tbl>
    <w:p w:rsidR="00C36189" w:rsidRPr="005C36F5" w:rsidRDefault="00C36189" w:rsidP="007F0DCB">
      <w:pPr>
        <w:autoSpaceDE w:val="0"/>
        <w:autoSpaceDN w:val="0"/>
        <w:adjustRightInd w:val="0"/>
        <w:spacing w:after="0" w:line="240" w:lineRule="auto"/>
        <w:ind w:left="1440"/>
        <w:jc w:val="both"/>
        <w:rPr>
          <w:rFonts w:ascii="Times New Roman" w:eastAsia="Calibri" w:hAnsi="Times New Roman" w:cs="Times New Roman"/>
          <w:b/>
          <w:color w:val="333333"/>
          <w:sz w:val="24"/>
          <w:szCs w:val="24"/>
        </w:rPr>
      </w:pPr>
    </w:p>
    <w:p w:rsidR="00C36189" w:rsidRPr="005C36F5" w:rsidRDefault="00C36189" w:rsidP="005C36F5">
      <w:pPr>
        <w:autoSpaceDE w:val="0"/>
        <w:autoSpaceDN w:val="0"/>
        <w:adjustRightInd w:val="0"/>
        <w:spacing w:after="0" w:line="240" w:lineRule="auto"/>
        <w:jc w:val="both"/>
        <w:rPr>
          <w:rFonts w:ascii="Times New Roman" w:eastAsia="Calibri" w:hAnsi="Times New Roman" w:cs="Times New Roman"/>
          <w:color w:val="333333"/>
          <w:sz w:val="24"/>
          <w:szCs w:val="24"/>
        </w:rPr>
      </w:pPr>
    </w:p>
    <w:sectPr w:rsidR="00C36189" w:rsidRPr="005C36F5" w:rsidSect="00423D4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20" w:rsidRDefault="003C1020" w:rsidP="00C36189">
      <w:pPr>
        <w:spacing w:after="0" w:line="240" w:lineRule="auto"/>
      </w:pPr>
      <w:r>
        <w:separator/>
      </w:r>
    </w:p>
  </w:endnote>
  <w:endnote w:type="continuationSeparator" w:id="0">
    <w:p w:rsidR="003C1020" w:rsidRDefault="003C1020" w:rsidP="00C3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169546"/>
      <w:docPartObj>
        <w:docPartGallery w:val="Page Numbers (Bottom of Page)"/>
        <w:docPartUnique/>
      </w:docPartObj>
    </w:sdtPr>
    <w:sdtEndPr>
      <w:rPr>
        <w:noProof/>
      </w:rPr>
    </w:sdtEndPr>
    <w:sdtContent>
      <w:p w:rsidR="00E43860" w:rsidRDefault="00E43860">
        <w:pPr>
          <w:pStyle w:val="Footer"/>
          <w:jc w:val="right"/>
        </w:pPr>
        <w:r>
          <w:fldChar w:fldCharType="begin"/>
        </w:r>
        <w:r>
          <w:instrText xml:space="preserve"> PAGE   \* MERGEFORMAT </w:instrText>
        </w:r>
        <w:r>
          <w:fldChar w:fldCharType="separate"/>
        </w:r>
        <w:r w:rsidR="00C20B4D">
          <w:rPr>
            <w:noProof/>
          </w:rPr>
          <w:t>4921</w:t>
        </w:r>
        <w:r>
          <w:rPr>
            <w:noProof/>
          </w:rPr>
          <w:fldChar w:fldCharType="end"/>
        </w:r>
      </w:p>
    </w:sdtContent>
  </w:sdt>
  <w:p w:rsidR="00E43860" w:rsidRDefault="00E43860">
    <w:pPr>
      <w:pStyle w:val="Footer"/>
      <w:jc w:val="center"/>
    </w:pPr>
  </w:p>
  <w:p w:rsidR="00E43860" w:rsidRDefault="00E438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20" w:rsidRDefault="003C1020" w:rsidP="00C36189">
      <w:pPr>
        <w:spacing w:after="0" w:line="240" w:lineRule="auto"/>
      </w:pPr>
      <w:r>
        <w:separator/>
      </w:r>
    </w:p>
  </w:footnote>
  <w:footnote w:type="continuationSeparator" w:id="0">
    <w:p w:rsidR="003C1020" w:rsidRDefault="003C1020" w:rsidP="00C3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60" w:rsidRPr="0017265C" w:rsidRDefault="00E43860" w:rsidP="0017265C">
    <w:pPr>
      <w:spacing w:after="0" w:line="240" w:lineRule="auto"/>
      <w:jc w:val="both"/>
      <w:rPr>
        <w:rFonts w:ascii="Times New Roman" w:eastAsia="Calibri" w:hAnsi="Times New Roman" w:cs="Times New Roman"/>
        <w:b/>
        <w:sz w:val="12"/>
        <w:szCs w:val="24"/>
      </w:rPr>
    </w:pPr>
    <w:r w:rsidRPr="0017265C">
      <w:rPr>
        <w:rFonts w:ascii="Times New Roman" w:eastAsia="Calibri" w:hAnsi="Times New Roman" w:cs="Times New Roman"/>
        <w:b/>
        <w:sz w:val="12"/>
        <w:szCs w:val="24"/>
      </w:rPr>
      <w:t>APPLICATION OF DATA ENVELOPMENT ANALYSIS FOR EXPLORING BILATERAL TRADE POTENTIALS</w:t>
    </w:r>
    <w:r w:rsidRPr="0017265C">
      <w:rPr>
        <w:rFonts w:ascii="Times New Roman" w:eastAsia="Calibri" w:hAnsi="Times New Roman" w:cs="Times New Roman"/>
        <w:b/>
        <w:sz w:val="12"/>
        <w:szCs w:val="24"/>
      </w:rPr>
      <w:tab/>
    </w:r>
    <w:r w:rsidRPr="0017265C">
      <w:rPr>
        <w:rFonts w:ascii="Times New Roman" w:eastAsia="Calibri" w:hAnsi="Times New Roman" w:cs="Times New Roman"/>
        <w:b/>
        <w:sz w:val="12"/>
        <w:szCs w:val="24"/>
      </w:rPr>
      <w:tab/>
    </w:r>
    <w:r w:rsidRPr="0017265C">
      <w:rPr>
        <w:rFonts w:ascii="Times New Roman" w:eastAsia="Calibri" w:hAnsi="Times New Roman" w:cs="Times New Roman"/>
        <w:b/>
        <w:sz w:val="12"/>
        <w:szCs w:val="24"/>
      </w:rPr>
      <w:tab/>
    </w:r>
    <w:r w:rsidRPr="0017265C">
      <w:rPr>
        <w:rFonts w:ascii="Times New Roman" w:hAnsi="Times New Roman" w:cs="Times New Roman"/>
        <w:b/>
        <w:bCs/>
        <w:sz w:val="12"/>
        <w:szCs w:val="12"/>
        <w:lang w:val="en-AU" w:eastAsia="x-none"/>
      </w:rPr>
      <w:t>PJAEE, 18 (1) (2021)</w:t>
    </w:r>
  </w:p>
  <w:p w:rsidR="00E43860" w:rsidRDefault="00E43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459DD"/>
    <w:multiLevelType w:val="hybridMultilevel"/>
    <w:tmpl w:val="13D4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E7DAE"/>
    <w:multiLevelType w:val="hybridMultilevel"/>
    <w:tmpl w:val="1AC201F8"/>
    <w:lvl w:ilvl="0" w:tplc="D070E8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303EF6"/>
    <w:multiLevelType w:val="hybridMultilevel"/>
    <w:tmpl w:val="162C1D56"/>
    <w:lvl w:ilvl="0" w:tplc="C02832C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74"/>
    <w:rsid w:val="000034F7"/>
    <w:rsid w:val="0000400C"/>
    <w:rsid w:val="00005351"/>
    <w:rsid w:val="00006926"/>
    <w:rsid w:val="000121F7"/>
    <w:rsid w:val="00025E53"/>
    <w:rsid w:val="00026730"/>
    <w:rsid w:val="000339BF"/>
    <w:rsid w:val="00037187"/>
    <w:rsid w:val="00041A23"/>
    <w:rsid w:val="00043D25"/>
    <w:rsid w:val="00053DF6"/>
    <w:rsid w:val="000550D8"/>
    <w:rsid w:val="0006542A"/>
    <w:rsid w:val="00067E27"/>
    <w:rsid w:val="00070645"/>
    <w:rsid w:val="00072F06"/>
    <w:rsid w:val="00084802"/>
    <w:rsid w:val="000966F7"/>
    <w:rsid w:val="000A1189"/>
    <w:rsid w:val="000D2813"/>
    <w:rsid w:val="000D3B1E"/>
    <w:rsid w:val="000D4438"/>
    <w:rsid w:val="000E10DC"/>
    <w:rsid w:val="000E7D7F"/>
    <w:rsid w:val="000F0D61"/>
    <w:rsid w:val="000F1DEC"/>
    <w:rsid w:val="001074AB"/>
    <w:rsid w:val="0011325E"/>
    <w:rsid w:val="00114603"/>
    <w:rsid w:val="00114861"/>
    <w:rsid w:val="00114F62"/>
    <w:rsid w:val="001214E2"/>
    <w:rsid w:val="00124620"/>
    <w:rsid w:val="001507E1"/>
    <w:rsid w:val="001545BE"/>
    <w:rsid w:val="00154DEA"/>
    <w:rsid w:val="00164CB1"/>
    <w:rsid w:val="0017265C"/>
    <w:rsid w:val="00181047"/>
    <w:rsid w:val="00187794"/>
    <w:rsid w:val="001877B3"/>
    <w:rsid w:val="001958C3"/>
    <w:rsid w:val="001959B8"/>
    <w:rsid w:val="001976C4"/>
    <w:rsid w:val="001A39E6"/>
    <w:rsid w:val="001B512E"/>
    <w:rsid w:val="001B67AA"/>
    <w:rsid w:val="001C1A52"/>
    <w:rsid w:val="001C5BB0"/>
    <w:rsid w:val="001E30B3"/>
    <w:rsid w:val="001E3B58"/>
    <w:rsid w:val="001F05B8"/>
    <w:rsid w:val="001F24D9"/>
    <w:rsid w:val="00200902"/>
    <w:rsid w:val="0021305E"/>
    <w:rsid w:val="002218A6"/>
    <w:rsid w:val="00242B0E"/>
    <w:rsid w:val="002514E5"/>
    <w:rsid w:val="0025192E"/>
    <w:rsid w:val="00264373"/>
    <w:rsid w:val="0026725F"/>
    <w:rsid w:val="00270DB4"/>
    <w:rsid w:val="00280282"/>
    <w:rsid w:val="00285409"/>
    <w:rsid w:val="00287CBA"/>
    <w:rsid w:val="00297A4B"/>
    <w:rsid w:val="002A02BC"/>
    <w:rsid w:val="002A647E"/>
    <w:rsid w:val="002B270E"/>
    <w:rsid w:val="002B51F3"/>
    <w:rsid w:val="002C569F"/>
    <w:rsid w:val="002F1F51"/>
    <w:rsid w:val="00303683"/>
    <w:rsid w:val="00314B44"/>
    <w:rsid w:val="0031679C"/>
    <w:rsid w:val="00327022"/>
    <w:rsid w:val="003356AD"/>
    <w:rsid w:val="00342AA6"/>
    <w:rsid w:val="003520CF"/>
    <w:rsid w:val="0035734F"/>
    <w:rsid w:val="00365AB6"/>
    <w:rsid w:val="00384748"/>
    <w:rsid w:val="00384CFB"/>
    <w:rsid w:val="003A109F"/>
    <w:rsid w:val="003A2280"/>
    <w:rsid w:val="003A2D8B"/>
    <w:rsid w:val="003A6F7A"/>
    <w:rsid w:val="003B1D4C"/>
    <w:rsid w:val="003B389C"/>
    <w:rsid w:val="003B38BB"/>
    <w:rsid w:val="003B42A5"/>
    <w:rsid w:val="003C1020"/>
    <w:rsid w:val="003C3364"/>
    <w:rsid w:val="003C35BC"/>
    <w:rsid w:val="003D14CB"/>
    <w:rsid w:val="003E33F3"/>
    <w:rsid w:val="003E5512"/>
    <w:rsid w:val="00410C68"/>
    <w:rsid w:val="00411345"/>
    <w:rsid w:val="004115BB"/>
    <w:rsid w:val="00414B7F"/>
    <w:rsid w:val="00423D48"/>
    <w:rsid w:val="00431C1C"/>
    <w:rsid w:val="00434408"/>
    <w:rsid w:val="00435552"/>
    <w:rsid w:val="004368D5"/>
    <w:rsid w:val="00436C3E"/>
    <w:rsid w:val="00447413"/>
    <w:rsid w:val="00452E58"/>
    <w:rsid w:val="004604AF"/>
    <w:rsid w:val="00467A97"/>
    <w:rsid w:val="00475D9E"/>
    <w:rsid w:val="00476BBE"/>
    <w:rsid w:val="00480469"/>
    <w:rsid w:val="00487B1B"/>
    <w:rsid w:val="00494664"/>
    <w:rsid w:val="004C1A7C"/>
    <w:rsid w:val="004C3BFA"/>
    <w:rsid w:val="004C5C13"/>
    <w:rsid w:val="004C60CE"/>
    <w:rsid w:val="004C76DE"/>
    <w:rsid w:val="004D1AAB"/>
    <w:rsid w:val="004F1B2D"/>
    <w:rsid w:val="004F1E05"/>
    <w:rsid w:val="004F45AA"/>
    <w:rsid w:val="004F555B"/>
    <w:rsid w:val="0050606D"/>
    <w:rsid w:val="00512624"/>
    <w:rsid w:val="00512A1B"/>
    <w:rsid w:val="005158D4"/>
    <w:rsid w:val="0051713B"/>
    <w:rsid w:val="00517D96"/>
    <w:rsid w:val="0052184E"/>
    <w:rsid w:val="00533A4A"/>
    <w:rsid w:val="00542C20"/>
    <w:rsid w:val="005442F8"/>
    <w:rsid w:val="00557AC8"/>
    <w:rsid w:val="00563D43"/>
    <w:rsid w:val="00574897"/>
    <w:rsid w:val="005815A1"/>
    <w:rsid w:val="00587EFB"/>
    <w:rsid w:val="005908A2"/>
    <w:rsid w:val="005B4423"/>
    <w:rsid w:val="005B7FD1"/>
    <w:rsid w:val="005C3265"/>
    <w:rsid w:val="005C36F5"/>
    <w:rsid w:val="005C6C65"/>
    <w:rsid w:val="005D7B49"/>
    <w:rsid w:val="005E0FC3"/>
    <w:rsid w:val="005E586B"/>
    <w:rsid w:val="005E74BA"/>
    <w:rsid w:val="005F58E6"/>
    <w:rsid w:val="005F6BDE"/>
    <w:rsid w:val="00600EC0"/>
    <w:rsid w:val="00616441"/>
    <w:rsid w:val="00621842"/>
    <w:rsid w:val="00621FCA"/>
    <w:rsid w:val="00627F0A"/>
    <w:rsid w:val="0063144B"/>
    <w:rsid w:val="006330CA"/>
    <w:rsid w:val="00633DDE"/>
    <w:rsid w:val="00634D06"/>
    <w:rsid w:val="006359A6"/>
    <w:rsid w:val="00642788"/>
    <w:rsid w:val="00647E78"/>
    <w:rsid w:val="00650977"/>
    <w:rsid w:val="00650B94"/>
    <w:rsid w:val="00663107"/>
    <w:rsid w:val="0066387A"/>
    <w:rsid w:val="0068028C"/>
    <w:rsid w:val="006806EA"/>
    <w:rsid w:val="006832F5"/>
    <w:rsid w:val="00683A02"/>
    <w:rsid w:val="006A16DB"/>
    <w:rsid w:val="006B3003"/>
    <w:rsid w:val="006B482D"/>
    <w:rsid w:val="006D1AF2"/>
    <w:rsid w:val="006D27C3"/>
    <w:rsid w:val="006D4CC8"/>
    <w:rsid w:val="006D7499"/>
    <w:rsid w:val="006E7B3C"/>
    <w:rsid w:val="00703457"/>
    <w:rsid w:val="007050B0"/>
    <w:rsid w:val="007052EB"/>
    <w:rsid w:val="00705E96"/>
    <w:rsid w:val="00713087"/>
    <w:rsid w:val="0072183F"/>
    <w:rsid w:val="007232A9"/>
    <w:rsid w:val="0072371E"/>
    <w:rsid w:val="00744084"/>
    <w:rsid w:val="00755B47"/>
    <w:rsid w:val="00770F90"/>
    <w:rsid w:val="0077236C"/>
    <w:rsid w:val="007757ED"/>
    <w:rsid w:val="00775C8E"/>
    <w:rsid w:val="00785992"/>
    <w:rsid w:val="007872B7"/>
    <w:rsid w:val="00791CA8"/>
    <w:rsid w:val="007A1FA8"/>
    <w:rsid w:val="007A49C4"/>
    <w:rsid w:val="007C5E09"/>
    <w:rsid w:val="007D6154"/>
    <w:rsid w:val="007E4973"/>
    <w:rsid w:val="007E4C6A"/>
    <w:rsid w:val="007E6ED9"/>
    <w:rsid w:val="007E71D8"/>
    <w:rsid w:val="007F0DCB"/>
    <w:rsid w:val="007F1EAC"/>
    <w:rsid w:val="007F6D43"/>
    <w:rsid w:val="008048CE"/>
    <w:rsid w:val="00806B4E"/>
    <w:rsid w:val="00815269"/>
    <w:rsid w:val="008201BF"/>
    <w:rsid w:val="00822AF0"/>
    <w:rsid w:val="00853535"/>
    <w:rsid w:val="00853590"/>
    <w:rsid w:val="00865012"/>
    <w:rsid w:val="00872B97"/>
    <w:rsid w:val="00872BDB"/>
    <w:rsid w:val="008739DE"/>
    <w:rsid w:val="00877D6A"/>
    <w:rsid w:val="00885D00"/>
    <w:rsid w:val="00894A1F"/>
    <w:rsid w:val="00896856"/>
    <w:rsid w:val="008A1D45"/>
    <w:rsid w:val="008A48F0"/>
    <w:rsid w:val="008C4333"/>
    <w:rsid w:val="008C5B68"/>
    <w:rsid w:val="008C6E22"/>
    <w:rsid w:val="008D45B0"/>
    <w:rsid w:val="008D762A"/>
    <w:rsid w:val="008E3CB2"/>
    <w:rsid w:val="008E5D3E"/>
    <w:rsid w:val="008F4512"/>
    <w:rsid w:val="008F4C91"/>
    <w:rsid w:val="009055A8"/>
    <w:rsid w:val="00914A8F"/>
    <w:rsid w:val="0092437A"/>
    <w:rsid w:val="00925E75"/>
    <w:rsid w:val="00927195"/>
    <w:rsid w:val="00934371"/>
    <w:rsid w:val="00942DAC"/>
    <w:rsid w:val="009433E5"/>
    <w:rsid w:val="00945DBB"/>
    <w:rsid w:val="00947329"/>
    <w:rsid w:val="00947C5C"/>
    <w:rsid w:val="00952AFE"/>
    <w:rsid w:val="009747BB"/>
    <w:rsid w:val="009772AF"/>
    <w:rsid w:val="009864B3"/>
    <w:rsid w:val="009A020E"/>
    <w:rsid w:val="009B491D"/>
    <w:rsid w:val="009D7A6C"/>
    <w:rsid w:val="009E2E1C"/>
    <w:rsid w:val="009E7D42"/>
    <w:rsid w:val="009F147F"/>
    <w:rsid w:val="009F604E"/>
    <w:rsid w:val="009F7A23"/>
    <w:rsid w:val="00A0030C"/>
    <w:rsid w:val="00A23BFE"/>
    <w:rsid w:val="00A36149"/>
    <w:rsid w:val="00A44146"/>
    <w:rsid w:val="00A45D59"/>
    <w:rsid w:val="00A54FAB"/>
    <w:rsid w:val="00A551D6"/>
    <w:rsid w:val="00A757E7"/>
    <w:rsid w:val="00A9699F"/>
    <w:rsid w:val="00AA0B5E"/>
    <w:rsid w:val="00AA1EFF"/>
    <w:rsid w:val="00AB1FE3"/>
    <w:rsid w:val="00AB639D"/>
    <w:rsid w:val="00AC49B7"/>
    <w:rsid w:val="00AC576C"/>
    <w:rsid w:val="00AC5871"/>
    <w:rsid w:val="00AC6E04"/>
    <w:rsid w:val="00AD448F"/>
    <w:rsid w:val="00AD60DC"/>
    <w:rsid w:val="00AD7B10"/>
    <w:rsid w:val="00AE1C1C"/>
    <w:rsid w:val="00AF608D"/>
    <w:rsid w:val="00AF6CF0"/>
    <w:rsid w:val="00B1367B"/>
    <w:rsid w:val="00B209C8"/>
    <w:rsid w:val="00B36B92"/>
    <w:rsid w:val="00B379B9"/>
    <w:rsid w:val="00B466E5"/>
    <w:rsid w:val="00B521A4"/>
    <w:rsid w:val="00B55646"/>
    <w:rsid w:val="00B57923"/>
    <w:rsid w:val="00B63632"/>
    <w:rsid w:val="00B63684"/>
    <w:rsid w:val="00B6517D"/>
    <w:rsid w:val="00B6692F"/>
    <w:rsid w:val="00B72175"/>
    <w:rsid w:val="00B83C8F"/>
    <w:rsid w:val="00B91326"/>
    <w:rsid w:val="00B9184E"/>
    <w:rsid w:val="00B941CB"/>
    <w:rsid w:val="00BA301E"/>
    <w:rsid w:val="00BA5EF4"/>
    <w:rsid w:val="00BA605F"/>
    <w:rsid w:val="00BC2A36"/>
    <w:rsid w:val="00BD095A"/>
    <w:rsid w:val="00BD0E04"/>
    <w:rsid w:val="00BE134E"/>
    <w:rsid w:val="00BE3D26"/>
    <w:rsid w:val="00BE6112"/>
    <w:rsid w:val="00BF3371"/>
    <w:rsid w:val="00BF40B0"/>
    <w:rsid w:val="00C04E7D"/>
    <w:rsid w:val="00C15171"/>
    <w:rsid w:val="00C20B4D"/>
    <w:rsid w:val="00C36189"/>
    <w:rsid w:val="00C50273"/>
    <w:rsid w:val="00C52F0D"/>
    <w:rsid w:val="00C62A0A"/>
    <w:rsid w:val="00C84B3E"/>
    <w:rsid w:val="00C9081F"/>
    <w:rsid w:val="00C91E58"/>
    <w:rsid w:val="00C9628D"/>
    <w:rsid w:val="00CC3980"/>
    <w:rsid w:val="00CC3AB8"/>
    <w:rsid w:val="00CD198C"/>
    <w:rsid w:val="00CD3A1F"/>
    <w:rsid w:val="00CE3D34"/>
    <w:rsid w:val="00CE797B"/>
    <w:rsid w:val="00CE7D50"/>
    <w:rsid w:val="00CF660E"/>
    <w:rsid w:val="00D05783"/>
    <w:rsid w:val="00D057BE"/>
    <w:rsid w:val="00D139A2"/>
    <w:rsid w:val="00D20ACA"/>
    <w:rsid w:val="00D21503"/>
    <w:rsid w:val="00D27398"/>
    <w:rsid w:val="00D339A2"/>
    <w:rsid w:val="00D33EA1"/>
    <w:rsid w:val="00D44315"/>
    <w:rsid w:val="00D45A62"/>
    <w:rsid w:val="00D51F54"/>
    <w:rsid w:val="00D54459"/>
    <w:rsid w:val="00D55762"/>
    <w:rsid w:val="00D55D35"/>
    <w:rsid w:val="00D60028"/>
    <w:rsid w:val="00D713BC"/>
    <w:rsid w:val="00D748E9"/>
    <w:rsid w:val="00D932C0"/>
    <w:rsid w:val="00DA7D1B"/>
    <w:rsid w:val="00DB4EF9"/>
    <w:rsid w:val="00DB5428"/>
    <w:rsid w:val="00DC1A23"/>
    <w:rsid w:val="00DC51E6"/>
    <w:rsid w:val="00DE1527"/>
    <w:rsid w:val="00DF3028"/>
    <w:rsid w:val="00DF7FF1"/>
    <w:rsid w:val="00E1085E"/>
    <w:rsid w:val="00E2615E"/>
    <w:rsid w:val="00E26FA5"/>
    <w:rsid w:val="00E273E5"/>
    <w:rsid w:val="00E42C17"/>
    <w:rsid w:val="00E42FD4"/>
    <w:rsid w:val="00E43860"/>
    <w:rsid w:val="00E46579"/>
    <w:rsid w:val="00E61945"/>
    <w:rsid w:val="00E708D5"/>
    <w:rsid w:val="00E71808"/>
    <w:rsid w:val="00E76CF0"/>
    <w:rsid w:val="00E779FD"/>
    <w:rsid w:val="00E90CA3"/>
    <w:rsid w:val="00E924BB"/>
    <w:rsid w:val="00E95827"/>
    <w:rsid w:val="00EA6A09"/>
    <w:rsid w:val="00EB2F28"/>
    <w:rsid w:val="00EB7E40"/>
    <w:rsid w:val="00EE246A"/>
    <w:rsid w:val="00EE2AC0"/>
    <w:rsid w:val="00EE4269"/>
    <w:rsid w:val="00EE7970"/>
    <w:rsid w:val="00EF666B"/>
    <w:rsid w:val="00EF671A"/>
    <w:rsid w:val="00EF77A3"/>
    <w:rsid w:val="00F010AA"/>
    <w:rsid w:val="00F16719"/>
    <w:rsid w:val="00F27B2D"/>
    <w:rsid w:val="00F30D6B"/>
    <w:rsid w:val="00F44CF8"/>
    <w:rsid w:val="00F624AE"/>
    <w:rsid w:val="00F650A7"/>
    <w:rsid w:val="00F66619"/>
    <w:rsid w:val="00F71FAA"/>
    <w:rsid w:val="00F7361A"/>
    <w:rsid w:val="00F741AF"/>
    <w:rsid w:val="00F77323"/>
    <w:rsid w:val="00F807C5"/>
    <w:rsid w:val="00F94836"/>
    <w:rsid w:val="00F97556"/>
    <w:rsid w:val="00FA0C1D"/>
    <w:rsid w:val="00FA7CC3"/>
    <w:rsid w:val="00FB7BA3"/>
    <w:rsid w:val="00FD3774"/>
    <w:rsid w:val="00FF08FE"/>
    <w:rsid w:val="00FF5820"/>
    <w:rsid w:val="71917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BBA7CC-073A-42C7-AC68-D1BC67E1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89"/>
    <w:rPr>
      <w:sz w:val="22"/>
      <w:szCs w:val="22"/>
    </w:rPr>
  </w:style>
  <w:style w:type="paragraph" w:styleId="Heading1">
    <w:name w:val="heading 1"/>
    <w:basedOn w:val="Normal"/>
    <w:next w:val="Normal"/>
    <w:link w:val="Heading1Char"/>
    <w:qFormat/>
    <w:rsid w:val="00C36189"/>
    <w:pPr>
      <w:keepNext/>
      <w:autoSpaceDE w:val="0"/>
      <w:autoSpaceDN w:val="0"/>
      <w:adjustRightInd w:val="0"/>
      <w:spacing w:after="0" w:line="48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36189"/>
    <w:pPr>
      <w:spacing w:after="0" w:line="240" w:lineRule="auto"/>
    </w:pPr>
    <w:rPr>
      <w:rFonts w:ascii="Tahoma" w:hAnsi="Tahoma" w:cs="Tahoma"/>
      <w:sz w:val="16"/>
      <w:szCs w:val="16"/>
    </w:rPr>
  </w:style>
  <w:style w:type="paragraph" w:styleId="BodyText">
    <w:name w:val="Body Text"/>
    <w:basedOn w:val="Normal"/>
    <w:link w:val="BodyTextChar"/>
    <w:semiHidden/>
    <w:rsid w:val="00C36189"/>
    <w:pPr>
      <w:tabs>
        <w:tab w:val="left" w:pos="360"/>
      </w:tabs>
      <w:spacing w:after="0" w:line="48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rsid w:val="00C3618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C3618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36189"/>
    <w:pPr>
      <w:tabs>
        <w:tab w:val="center" w:pos="4680"/>
        <w:tab w:val="right" w:pos="9360"/>
      </w:tabs>
      <w:spacing w:after="0" w:line="240" w:lineRule="auto"/>
    </w:pPr>
  </w:style>
  <w:style w:type="character" w:styleId="FootnoteReference">
    <w:name w:val="footnote reference"/>
    <w:basedOn w:val="DefaultParagraphFont"/>
    <w:semiHidden/>
    <w:rsid w:val="00C36189"/>
    <w:rPr>
      <w:vertAlign w:val="superscript"/>
    </w:rPr>
  </w:style>
  <w:style w:type="character" w:styleId="Hyperlink">
    <w:name w:val="Hyperlink"/>
    <w:basedOn w:val="DefaultParagraphFont"/>
    <w:uiPriority w:val="99"/>
    <w:unhideWhenUsed/>
    <w:rsid w:val="00C36189"/>
    <w:rPr>
      <w:color w:val="0000FF" w:themeColor="hyperlink"/>
      <w:u w:val="single"/>
    </w:rPr>
  </w:style>
  <w:style w:type="table" w:styleId="TableGrid">
    <w:name w:val="Table Grid"/>
    <w:basedOn w:val="TableNormal"/>
    <w:uiPriority w:val="59"/>
    <w:rsid w:val="00C361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36189"/>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qFormat/>
    <w:rsid w:val="00C3618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3618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qFormat/>
    <w:rsid w:val="00C36189"/>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36189"/>
    <w:rPr>
      <w:rFonts w:ascii="Tahoma" w:hAnsi="Tahoma" w:cs="Tahoma"/>
      <w:sz w:val="16"/>
      <w:szCs w:val="16"/>
    </w:rPr>
  </w:style>
  <w:style w:type="character" w:customStyle="1" w:styleId="HeaderChar">
    <w:name w:val="Header Char"/>
    <w:basedOn w:val="DefaultParagraphFont"/>
    <w:link w:val="Header"/>
    <w:uiPriority w:val="99"/>
    <w:qFormat/>
    <w:rsid w:val="00C36189"/>
  </w:style>
  <w:style w:type="paragraph" w:customStyle="1" w:styleId="Default">
    <w:name w:val="Default"/>
    <w:rsid w:val="00C361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E3D26"/>
    <w:pPr>
      <w:spacing w:after="160" w:line="480" w:lineRule="auto"/>
      <w:ind w:left="720"/>
      <w:contextualSpacing/>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eedurrahman16@gmail.co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1.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usheensyed@gcwuf.edu.pk"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mailto:mriaz@gudgk.edu.pk"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hafqat2567@gmail.com"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Zia4939@gmail.co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886F4-5C4D-49E8-AE9B-E043DEE7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MADIHA</dc:creator>
  <cp:lastModifiedBy>SCS</cp:lastModifiedBy>
  <cp:revision>4</cp:revision>
  <dcterms:created xsi:type="dcterms:W3CDTF">2021-07-12T03:05:00Z</dcterms:created>
  <dcterms:modified xsi:type="dcterms:W3CDTF">2021-07-13T21:45:00Z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